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1C32" w14:textId="77777777" w:rsidR="00397B1E" w:rsidRDefault="00397B1E" w:rsidP="00E509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1E">
        <w:rPr>
          <w:rFonts w:ascii="Times New Roman" w:hAnsi="Times New Roman" w:cs="Times New Roman"/>
          <w:b/>
          <w:sz w:val="28"/>
          <w:szCs w:val="28"/>
        </w:rPr>
        <w:t>Страхование жизни и здоровья населения: на что обратить внимание при заключении договора страхования.</w:t>
      </w:r>
    </w:p>
    <w:p w14:paraId="77517072" w14:textId="77777777" w:rsidR="003F458D" w:rsidRPr="00397B1E" w:rsidRDefault="003F458D" w:rsidP="00E509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3ADCB" w14:textId="77777777" w:rsidR="00397B1E" w:rsidRDefault="00397B1E" w:rsidP="00E509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B1E">
        <w:rPr>
          <w:rFonts w:ascii="Times New Roman" w:hAnsi="Times New Roman" w:cs="Times New Roman"/>
          <w:sz w:val="28"/>
          <w:szCs w:val="28"/>
        </w:rPr>
        <w:t>Заключение договора страхования является обязательным, также обязательна его письменная форма, так как её несоблюдение влечет недействительность договора.</w:t>
      </w:r>
      <w:r>
        <w:rPr>
          <w:rFonts w:ascii="Times New Roman" w:hAnsi="Times New Roman" w:cs="Times New Roman"/>
          <w:sz w:val="28"/>
          <w:szCs w:val="28"/>
        </w:rPr>
        <w:t xml:space="preserve"> Для заключения договора страхования жизни и здоровья стороны (страховая компания и страховщик) должны согласовать все существенные условия. В соответствии с п.2 ст.942 ГК РФ, к ним относятся:</w:t>
      </w:r>
    </w:p>
    <w:p w14:paraId="473EF945" w14:textId="77777777" w:rsidR="00397B1E" w:rsidRPr="00E5093F" w:rsidRDefault="00397B1E" w:rsidP="00E5093F">
      <w:pPr>
        <w:pStyle w:val="ConsPlusNormal"/>
        <w:numPr>
          <w:ilvl w:val="0"/>
          <w:numId w:val="2"/>
        </w:numPr>
        <w:tabs>
          <w:tab w:val="left" w:pos="426"/>
        </w:tabs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E5093F">
        <w:rPr>
          <w:rFonts w:ascii="Times New Roman" w:hAnsi="Times New Roman" w:cs="Times New Roman"/>
          <w:sz w:val="28"/>
          <w:szCs w:val="28"/>
        </w:rPr>
        <w:t>сведения о застрахованном лице;</w:t>
      </w:r>
    </w:p>
    <w:p w14:paraId="55EDB291" w14:textId="77777777" w:rsidR="00397B1E" w:rsidRPr="00E5093F" w:rsidRDefault="00397B1E" w:rsidP="00E5093F">
      <w:pPr>
        <w:pStyle w:val="ConsPlusNormal"/>
        <w:numPr>
          <w:ilvl w:val="0"/>
          <w:numId w:val="2"/>
        </w:numPr>
        <w:tabs>
          <w:tab w:val="left" w:pos="426"/>
        </w:tabs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E5093F">
        <w:rPr>
          <w:rFonts w:ascii="Times New Roman" w:hAnsi="Times New Roman" w:cs="Times New Roman"/>
          <w:sz w:val="28"/>
          <w:szCs w:val="28"/>
        </w:rPr>
        <w:t>сведения о характере страхового случая, то есть события, на случай наступления которого в жизни застрахованного лица осуществляется страхование (к примеру, причинение вреда жизни или здоровью, смерть, дожитие до определенного возраста);</w:t>
      </w:r>
    </w:p>
    <w:p w14:paraId="1AE85119" w14:textId="77777777" w:rsidR="00397B1E" w:rsidRPr="00E5093F" w:rsidRDefault="00397B1E" w:rsidP="00E5093F">
      <w:pPr>
        <w:pStyle w:val="ConsPlusNormal"/>
        <w:numPr>
          <w:ilvl w:val="0"/>
          <w:numId w:val="2"/>
        </w:numPr>
        <w:tabs>
          <w:tab w:val="left" w:pos="426"/>
        </w:tabs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E5093F">
        <w:rPr>
          <w:rFonts w:ascii="Times New Roman" w:hAnsi="Times New Roman" w:cs="Times New Roman"/>
          <w:sz w:val="28"/>
          <w:szCs w:val="28"/>
        </w:rPr>
        <w:t>размер страховой суммы, то есть суммы, в пределах которой страховщик обязуется выплатить страховое возмещение при наступлении страхового случая;</w:t>
      </w:r>
    </w:p>
    <w:p w14:paraId="5D7BFF8D" w14:textId="77777777" w:rsidR="00397B1E" w:rsidRPr="00E5093F" w:rsidRDefault="00397B1E" w:rsidP="00E5093F">
      <w:pPr>
        <w:pStyle w:val="ConsPlusNormal"/>
        <w:numPr>
          <w:ilvl w:val="0"/>
          <w:numId w:val="2"/>
        </w:numPr>
        <w:tabs>
          <w:tab w:val="left" w:pos="426"/>
        </w:tabs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E5093F">
        <w:rPr>
          <w:rFonts w:ascii="Times New Roman" w:hAnsi="Times New Roman" w:cs="Times New Roman"/>
          <w:sz w:val="28"/>
          <w:szCs w:val="28"/>
        </w:rPr>
        <w:t>срок действия договора страхования жизни.</w:t>
      </w:r>
    </w:p>
    <w:p w14:paraId="7907AB65" w14:textId="77777777" w:rsidR="00397B1E" w:rsidRPr="00E5093F" w:rsidRDefault="00E5093F" w:rsidP="00E509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3F">
        <w:rPr>
          <w:rFonts w:ascii="Times New Roman" w:hAnsi="Times New Roman" w:cs="Times New Roman"/>
          <w:sz w:val="28"/>
          <w:szCs w:val="28"/>
        </w:rPr>
        <w:t>Если хотя бы одно из существенных условий будет упущено при заключении договора, то данный договор будет признан незаключенным.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этого можно определить негативные правовое последствия, основное из которых для страхователя является невозможность принудить страховщика к исполнению обязательств по данному договору.  Например, если договор признается недействительным, то на основании п.1 ст. 425 ГК РФ необходимость исполнять права и обязанности отпадает, а это значит, что страховая компания не должна выплачивать страховое обеспечение страхователю, застрахованному лицу или </w:t>
      </w:r>
      <w:r w:rsidR="00D3290E">
        <w:rPr>
          <w:rFonts w:ascii="Times New Roman" w:hAnsi="Times New Roman" w:cs="Times New Roman"/>
          <w:sz w:val="28"/>
          <w:szCs w:val="28"/>
        </w:rPr>
        <w:t>выгодоприобретателю</w:t>
      </w:r>
      <w:r>
        <w:rPr>
          <w:rFonts w:ascii="Times New Roman" w:hAnsi="Times New Roman" w:cs="Times New Roman"/>
          <w:sz w:val="28"/>
          <w:szCs w:val="28"/>
        </w:rPr>
        <w:t xml:space="preserve"> при наступлении страхового случая. Достаточно часто данный способ ухода от </w:t>
      </w:r>
      <w:r w:rsidR="00D3290E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используют недобросовестные участники страховой сделки с целью уклонения от </w:t>
      </w:r>
      <w:r w:rsidR="00D3290E">
        <w:rPr>
          <w:rFonts w:ascii="Times New Roman" w:hAnsi="Times New Roman" w:cs="Times New Roman"/>
          <w:sz w:val="28"/>
          <w:szCs w:val="28"/>
        </w:rPr>
        <w:t>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в договоре</w:t>
      </w:r>
      <w:r w:rsidR="00D3290E">
        <w:rPr>
          <w:rFonts w:ascii="Times New Roman" w:hAnsi="Times New Roman" w:cs="Times New Roman"/>
          <w:sz w:val="28"/>
          <w:szCs w:val="28"/>
        </w:rPr>
        <w:t xml:space="preserve"> ответственности. Обычно в рамках судебного или иного разбирательства виновная сторона пытается ссылаться на формальные основания (отсутствие существенных условий), позволяющие считать договор незаключенным.</w:t>
      </w:r>
    </w:p>
    <w:p w14:paraId="36474677" w14:textId="77777777" w:rsidR="00397B1E" w:rsidRDefault="00F256E7" w:rsidP="00F256E7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Заключая договор, уделите внимание и дополнительным условиям, которые в последующем, при рассмотрении спорных ситуаций, помогут вам решить спор в вашу сторону. В</w:t>
      </w:r>
      <w:r w:rsidR="00397B1E">
        <w:t xml:space="preserve"> </w:t>
      </w:r>
      <w:r w:rsidR="00397B1E" w:rsidRPr="00F256E7">
        <w:rPr>
          <w:rFonts w:ascii="Times New Roman" w:hAnsi="Times New Roman" w:cs="Times New Roman"/>
          <w:sz w:val="28"/>
          <w:szCs w:val="28"/>
        </w:rPr>
        <w:t>договор страхования жизни целесообразно включать:</w:t>
      </w:r>
    </w:p>
    <w:p w14:paraId="676717F9" w14:textId="77777777" w:rsidR="00397B1E" w:rsidRPr="00F256E7" w:rsidRDefault="00397B1E" w:rsidP="00F256E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E7">
        <w:rPr>
          <w:rFonts w:ascii="Times New Roman" w:hAnsi="Times New Roman" w:cs="Times New Roman"/>
          <w:sz w:val="28"/>
          <w:szCs w:val="28"/>
        </w:rPr>
        <w:t xml:space="preserve">сведения о выгодоприобретателе при наступлении страхового случая. К примеру, это могут быть супруг, родители, дети и т.д. Может быть назначено несколько выгодоприобретателей. Выгодоприобретателем может быть застрахованное лицо, например, если в качестве страхового случая предусмотрено дожитие застрахованного лица до определенного </w:t>
      </w:r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>возраста (</w:t>
      </w:r>
      <w:hyperlink r:id="rId5" w:history="1">
        <w:r w:rsidRPr="00F256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ст. 934</w:t>
        </w:r>
      </w:hyperlink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РФ);</w:t>
      </w:r>
    </w:p>
    <w:p w14:paraId="790F9600" w14:textId="77777777" w:rsidR="00397B1E" w:rsidRPr="00F256E7" w:rsidRDefault="00397B1E" w:rsidP="00F256E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>случаи, не признаваемые страховыми, - например, самоубийство застрахованного лица, его смерть в результате народных волнений и т.д. (</w:t>
      </w:r>
      <w:hyperlink r:id="rId6" w:history="1">
        <w:r w:rsidRPr="00F256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964</w:t>
        </w:r>
      </w:hyperlink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РФ);</w:t>
      </w:r>
    </w:p>
    <w:p w14:paraId="65FA8971" w14:textId="77777777" w:rsidR="00397B1E" w:rsidRPr="00F256E7" w:rsidRDefault="00397B1E" w:rsidP="00F256E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о страховой премии (страховых взносах), ее размерах, сроках и порядке внесения страхователем - к примеру, в рассрочку или разовым платежом, наличными деньгами или безналичным способом (</w:t>
      </w:r>
      <w:hyperlink r:id="rId7" w:history="1">
        <w:r w:rsidRPr="00F256E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954</w:t>
        </w:r>
      </w:hyperlink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РФ);</w:t>
      </w:r>
    </w:p>
    <w:p w14:paraId="57778F3D" w14:textId="77777777" w:rsidR="00397B1E" w:rsidRPr="00F256E7" w:rsidRDefault="00397B1E" w:rsidP="00F256E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сроках и порядке выплаты страховой суммы при наступлении страхового случая;</w:t>
      </w:r>
    </w:p>
    <w:p w14:paraId="20BEF32D" w14:textId="77777777" w:rsidR="00397B1E" w:rsidRPr="00F256E7" w:rsidRDefault="00397B1E" w:rsidP="00F256E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представляемых страховщику при наступлении страхового случая;</w:t>
      </w:r>
    </w:p>
    <w:p w14:paraId="5883BAEC" w14:textId="77777777" w:rsidR="00397B1E" w:rsidRPr="00F256E7" w:rsidRDefault="00397B1E" w:rsidP="00F256E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оформлении факта наступления страхового случая - например, о составлении страхового акта страховщиком, сроках составления (</w:t>
      </w:r>
      <w:hyperlink r:id="rId8" w:history="1">
        <w:r w:rsidRPr="00F256E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961</w:t>
        </w:r>
      </w:hyperlink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РФ);</w:t>
      </w:r>
    </w:p>
    <w:p w14:paraId="50A6C4B4" w14:textId="77777777" w:rsidR="00397B1E" w:rsidRPr="00F256E7" w:rsidRDefault="00397B1E" w:rsidP="00F256E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об ответственности страховщика и страхователя, в частности, за нарушение сроков внесения страховой премии страхователем, выплаты страхового возмещения страховщиком при наступлении страхового случая;</w:t>
      </w:r>
    </w:p>
    <w:p w14:paraId="28D5067B" w14:textId="77777777" w:rsidR="00397B1E" w:rsidRPr="00F256E7" w:rsidRDefault="00397B1E" w:rsidP="00F256E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правилах страхования у страховщика, приложенные к договору в качестве его неотъемлемой части (</w:t>
      </w:r>
      <w:hyperlink r:id="rId9" w:history="1">
        <w:r w:rsidRPr="00F256E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943</w:t>
        </w:r>
      </w:hyperlink>
      <w:r w:rsidRPr="00F25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РФ).</w:t>
      </w:r>
    </w:p>
    <w:p w14:paraId="0F667567" w14:textId="77777777" w:rsidR="00397B1E" w:rsidRPr="00F256E7" w:rsidRDefault="00397B1E" w:rsidP="00F256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E25FC0" w14:textId="77777777" w:rsidR="00FC5BC9" w:rsidRPr="00FC5BC9" w:rsidRDefault="00FC5BC9" w:rsidP="00FC5BC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FC5BC9">
        <w:rPr>
          <w:rFonts w:ascii="Times New Roman" w:eastAsia="Calibri" w:hAnsi="Times New Roman" w:cs="Times New Roman"/>
          <w:i/>
          <w:iCs/>
          <w:sz w:val="32"/>
          <w:szCs w:val="32"/>
        </w:rPr>
        <w:t>Материал подготовил</w:t>
      </w:r>
    </w:p>
    <w:p w14:paraId="634CDB02" w14:textId="77777777" w:rsidR="00CE5F6E" w:rsidRPr="00CE5F6E" w:rsidRDefault="00FC5BC9" w:rsidP="00FC5B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CE5F6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Сироткин </w:t>
      </w:r>
      <w:r w:rsidR="00CE5F6E" w:rsidRPr="00CE5F6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Сергей Александрович</w:t>
      </w:r>
      <w:r w:rsidRPr="00CE5F6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,</w:t>
      </w:r>
    </w:p>
    <w:p w14:paraId="2C802D0B" w14:textId="53EDC289" w:rsidR="00FC5BC9" w:rsidRPr="00FC5BC9" w:rsidRDefault="00FC5BC9" w:rsidP="00FC5B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C5BC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канд. экон. наук, доцент </w:t>
      </w:r>
    </w:p>
    <w:p w14:paraId="4C4CCA86" w14:textId="77777777" w:rsidR="00FC5BC9" w:rsidRPr="00FC5BC9" w:rsidRDefault="00FC5BC9" w:rsidP="00FC5B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C5BC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Финансовый университет при Правительстве </w:t>
      </w:r>
    </w:p>
    <w:p w14:paraId="68B2A64A" w14:textId="3902541E" w:rsidR="00397B1E" w:rsidRPr="00F256E7" w:rsidRDefault="00FC5BC9" w:rsidP="00FC5BC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BC9">
        <w:rPr>
          <w:rFonts w:ascii="Times New Roman" w:hAnsi="Times New Roman" w:cs="Times New Roman"/>
          <w:i/>
          <w:sz w:val="32"/>
          <w:szCs w:val="32"/>
        </w:rPr>
        <w:t>Российской Федерации, Ярославский филиал</w:t>
      </w:r>
    </w:p>
    <w:p w14:paraId="28A255BA" w14:textId="77777777" w:rsidR="00CC37CB" w:rsidRPr="00F256E7" w:rsidRDefault="00CC37CB" w:rsidP="00F256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37CB" w:rsidRPr="00F256E7" w:rsidSect="002F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27C"/>
    <w:multiLevelType w:val="hybridMultilevel"/>
    <w:tmpl w:val="E8AE22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454050"/>
    <w:multiLevelType w:val="multilevel"/>
    <w:tmpl w:val="02F4BE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1E"/>
    <w:rsid w:val="00397B1E"/>
    <w:rsid w:val="003F458D"/>
    <w:rsid w:val="00665B43"/>
    <w:rsid w:val="009C3C19"/>
    <w:rsid w:val="00CC37CB"/>
    <w:rsid w:val="00CE5F6E"/>
    <w:rsid w:val="00D3290E"/>
    <w:rsid w:val="00E5093F"/>
    <w:rsid w:val="00F256E7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5D90"/>
  <w15:chartTrackingRefBased/>
  <w15:docId w15:val="{ABB5E2B3-F4B6-46F2-A84C-4F75AD2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97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FC5BC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F81198A3530D6409A5FAC89FA991703651A51AEFAF759F8348E8ECD7A822A5A1E700AE9A5EA6C8C3457CE85A9D23A43CD367D55244978E4m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8F81198A3530D6409A5FAC89FA991703651A51AEFAF759F8348E8ECD7A822A5A1E700AE9A5EA6F833457CE85A9D23A43CD367D55244978E4m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8F81198A3530D6409A5FAC89FA991703651A51AEFAF759F8348E8ECD7A822A5A1E700AE9A5EA6A833457CE85A9D23A43CD367D55244978E4m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68F81198A3530D6409A5FAC89FA991703651A51AEFAF759F8348E8ECD7A822A5A1E700AE9A5EB6E823457CE85A9D23A43CD367D55244978E4m1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8F81198A3530D6409A5FAC89FA991703651A51AEFAF759F8348E8ECD7A822A5A1E700AE9A5EB69873457CE85A9D23A43CD367D55244978E4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Соловьёва Екатерина Алексеевна</cp:lastModifiedBy>
  <cp:revision>4</cp:revision>
  <dcterms:created xsi:type="dcterms:W3CDTF">2022-10-28T11:47:00Z</dcterms:created>
  <dcterms:modified xsi:type="dcterms:W3CDTF">2022-11-03T08:13:00Z</dcterms:modified>
</cp:coreProperties>
</file>