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43" w:rsidRPr="00A76A67" w:rsidRDefault="00F76C43">
      <w:pPr>
        <w:widowControl w:val="0"/>
        <w:autoSpaceDE w:val="0"/>
        <w:autoSpaceDN w:val="0"/>
        <w:adjustRightInd w:val="0"/>
        <w:spacing w:after="0" w:line="240" w:lineRule="auto"/>
        <w:rPr>
          <w:rFonts w:ascii="Times New Roman" w:hAnsi="Times New Roman"/>
        </w:rPr>
      </w:pPr>
      <w:bookmarkStart w:id="0" w:name="_GoBack"/>
      <w:bookmarkEnd w:id="0"/>
      <w:r>
        <w:rPr>
          <w:rFonts w:ascii="Arial" w:hAnsi="Arial" w:cs="Arial"/>
          <w:sz w:val="2"/>
          <w:szCs w:val="2"/>
        </w:rPr>
        <w:br/>
      </w:r>
      <w:r w:rsidRPr="00A76A67">
        <w:rPr>
          <w:rFonts w:ascii="Times New Roman" w:hAnsi="Times New Roman"/>
        </w:rPr>
        <w:br/>
      </w:r>
    </w:p>
    <w:tbl>
      <w:tblPr>
        <w:tblW w:w="0" w:type="auto"/>
        <w:tblInd w:w="32" w:type="dxa"/>
        <w:tblLayout w:type="fixed"/>
        <w:tblLook w:val="0000" w:firstRow="0" w:lastRow="0" w:firstColumn="0" w:lastColumn="0" w:noHBand="0" w:noVBand="0"/>
      </w:tblPr>
      <w:tblGrid>
        <w:gridCol w:w="12525"/>
        <w:gridCol w:w="2915"/>
      </w:tblGrid>
      <w:tr w:rsidR="00F76C43" w:rsidRPr="00A76A67" w:rsidTr="00A76A67">
        <w:tblPrEx>
          <w:tblCellMar>
            <w:top w:w="0" w:type="dxa"/>
            <w:bottom w:w="0" w:type="dxa"/>
          </w:tblCellMar>
        </w:tblPrEx>
        <w:trPr>
          <w:trHeight w:val="1628"/>
          <w:tblHeader/>
        </w:trPr>
        <w:tc>
          <w:tcPr>
            <w:tcW w:w="12525" w:type="dxa"/>
            <w:tcMar>
              <w:top w:w="0" w:type="dxa"/>
              <w:left w:w="0" w:type="dxa"/>
              <w:bottom w:w="0" w:type="dxa"/>
              <w:right w:w="0" w:type="dxa"/>
            </w:tcMar>
            <w:vAlign w:val="center"/>
          </w:tcPr>
          <w:p w:rsidR="00F76C43" w:rsidRPr="00A76A67" w:rsidRDefault="00F76C43">
            <w:pPr>
              <w:widowControl w:val="0"/>
              <w:autoSpaceDE w:val="0"/>
              <w:autoSpaceDN w:val="0"/>
              <w:adjustRightInd w:val="0"/>
              <w:spacing w:after="0" w:line="240" w:lineRule="auto"/>
              <w:rPr>
                <w:rFonts w:ascii="Times New Roman" w:hAnsi="Times New Roman"/>
              </w:rPr>
            </w:pPr>
          </w:p>
        </w:tc>
        <w:tc>
          <w:tcPr>
            <w:tcW w:w="2915" w:type="dxa"/>
          </w:tcPr>
          <w:p w:rsidR="00F76C43" w:rsidRPr="00A76A67" w:rsidRDefault="00F76C43">
            <w:pPr>
              <w:widowControl w:val="0"/>
              <w:autoSpaceDE w:val="0"/>
              <w:autoSpaceDN w:val="0"/>
              <w:adjustRightInd w:val="0"/>
              <w:spacing w:after="0" w:line="240" w:lineRule="auto"/>
              <w:rPr>
                <w:rFonts w:ascii="Times New Roman" w:hAnsi="Times New Roman"/>
              </w:rPr>
            </w:pPr>
            <w:r w:rsidRPr="00A76A67">
              <w:rPr>
                <w:rFonts w:ascii="Times New Roman" w:hAnsi="Times New Roman"/>
              </w:rPr>
              <w:t>Приложение N 2</w:t>
            </w:r>
            <w:r w:rsidRPr="00A76A67">
              <w:rPr>
                <w:rFonts w:ascii="Times New Roman" w:hAnsi="Times New Roman"/>
              </w:rPr>
              <w:br/>
              <w:t>к методическим рекомендациям</w:t>
            </w:r>
            <w:r w:rsidRPr="00A76A67">
              <w:rPr>
                <w:rFonts w:ascii="Times New Roman" w:hAnsi="Times New Roman"/>
              </w:rPr>
              <w:br/>
              <w:t>по мониторингу реализации</w:t>
            </w:r>
            <w:r w:rsidRPr="00A76A67">
              <w:rPr>
                <w:rFonts w:ascii="Times New Roman" w:hAnsi="Times New Roman"/>
              </w:rPr>
              <w:br/>
              <w:t>государственных программ</w:t>
            </w:r>
            <w:r w:rsidRPr="00A76A67">
              <w:rPr>
                <w:rFonts w:ascii="Times New Roman" w:hAnsi="Times New Roman"/>
              </w:rPr>
              <w:br/>
              <w:t>Ивановской области</w:t>
            </w:r>
          </w:p>
        </w:tc>
      </w:tr>
      <w:tr w:rsidR="00F76C43" w:rsidTr="00A76A67">
        <w:tblPrEx>
          <w:tblCellMar>
            <w:top w:w="0" w:type="dxa"/>
            <w:bottom w:w="0" w:type="dxa"/>
          </w:tblCellMar>
        </w:tblPrEx>
        <w:trPr>
          <w:trHeight w:val="510"/>
          <w:tblHeader/>
        </w:trPr>
        <w:tc>
          <w:tcPr>
            <w:tcW w:w="12525" w:type="dxa"/>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2915" w:type="dxa"/>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r>
      <w:tr w:rsidR="00F76C43" w:rsidTr="00A76A67">
        <w:tblPrEx>
          <w:tblCellMar>
            <w:top w:w="0" w:type="dxa"/>
            <w:bottom w:w="0" w:type="dxa"/>
          </w:tblCellMar>
        </w:tblPrEx>
        <w:trPr>
          <w:trHeight w:val="510"/>
          <w:tblHeader/>
        </w:trPr>
        <w:tc>
          <w:tcPr>
            <w:tcW w:w="12525" w:type="dxa"/>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2915" w:type="dxa"/>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r>
      <w:tr w:rsidR="00F76C43" w:rsidTr="00A76A67">
        <w:tblPrEx>
          <w:tblCellMar>
            <w:top w:w="0" w:type="dxa"/>
            <w:bottom w:w="0" w:type="dxa"/>
          </w:tblCellMar>
        </w:tblPrEx>
        <w:trPr>
          <w:trHeight w:val="510"/>
          <w:tblHeader/>
        </w:trPr>
        <w:tc>
          <w:tcPr>
            <w:tcW w:w="15440" w:type="dxa"/>
            <w:gridSpan w:val="2"/>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8"/>
                <w:szCs w:val="28"/>
              </w:rPr>
              <w:t>ОТЧЕТ</w:t>
            </w:r>
          </w:p>
        </w:tc>
      </w:tr>
      <w:tr w:rsidR="00F76C43" w:rsidTr="00A76A67">
        <w:tblPrEx>
          <w:tblCellMar>
            <w:top w:w="0" w:type="dxa"/>
            <w:bottom w:w="0" w:type="dxa"/>
          </w:tblCellMar>
        </w:tblPrEx>
        <w:trPr>
          <w:trHeight w:val="839"/>
          <w:tblHeader/>
        </w:trPr>
        <w:tc>
          <w:tcPr>
            <w:tcW w:w="15440" w:type="dxa"/>
            <w:gridSpan w:val="2"/>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8"/>
                <w:szCs w:val="28"/>
              </w:rPr>
              <w:t xml:space="preserve">о ходе реализации государственной программы </w:t>
            </w:r>
            <w:r>
              <w:rPr>
                <w:rFonts w:ascii="Times New Roman" w:hAnsi="Times New Roman"/>
                <w:color w:val="000000"/>
                <w:sz w:val="28"/>
                <w:szCs w:val="28"/>
              </w:rPr>
              <w:br/>
              <w:t>(комплексной программы) Ивановской области</w:t>
            </w:r>
          </w:p>
        </w:tc>
      </w:tr>
      <w:tr w:rsidR="00F76C43" w:rsidTr="00A76A67">
        <w:tblPrEx>
          <w:tblCellMar>
            <w:top w:w="0" w:type="dxa"/>
            <w:bottom w:w="0" w:type="dxa"/>
          </w:tblCellMar>
        </w:tblPrEx>
        <w:trPr>
          <w:trHeight w:val="353"/>
          <w:tblHeader/>
        </w:trPr>
        <w:tc>
          <w:tcPr>
            <w:tcW w:w="15440" w:type="dxa"/>
            <w:gridSpan w:val="2"/>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8"/>
                <w:szCs w:val="28"/>
                <w:u w:val="single"/>
              </w:rPr>
              <w:t>«Развитие образования и науки Ивановской области»</w:t>
            </w:r>
          </w:p>
        </w:tc>
      </w:tr>
      <w:tr w:rsidR="00F76C43" w:rsidTr="00A76A67">
        <w:tblPrEx>
          <w:tblCellMar>
            <w:top w:w="0" w:type="dxa"/>
            <w:bottom w:w="0" w:type="dxa"/>
          </w:tblCellMar>
        </w:tblPrEx>
        <w:trPr>
          <w:trHeight w:val="476"/>
          <w:tblHeader/>
        </w:trPr>
        <w:tc>
          <w:tcPr>
            <w:tcW w:w="15440" w:type="dxa"/>
            <w:gridSpan w:val="2"/>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8"/>
                <w:szCs w:val="28"/>
                <w:u w:val="single"/>
              </w:rPr>
              <w:t>на 30 сентября 2024 года</w:t>
            </w:r>
          </w:p>
        </w:tc>
      </w:tr>
      <w:tr w:rsidR="00F76C43" w:rsidTr="00A76A67">
        <w:tblPrEx>
          <w:tblCellMar>
            <w:top w:w="0" w:type="dxa"/>
            <w:bottom w:w="0" w:type="dxa"/>
          </w:tblCellMar>
        </w:tblPrEx>
        <w:trPr>
          <w:trHeight w:val="225"/>
          <w:tblHeader/>
        </w:trPr>
        <w:tc>
          <w:tcPr>
            <w:tcW w:w="12525" w:type="dxa"/>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2915" w:type="dxa"/>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r>
      <w:tr w:rsidR="00F76C43" w:rsidTr="00A76A67">
        <w:tblPrEx>
          <w:tblCellMar>
            <w:top w:w="0" w:type="dxa"/>
            <w:bottom w:w="0" w:type="dxa"/>
          </w:tblCellMar>
        </w:tblPrEx>
        <w:trPr>
          <w:trHeight w:val="245"/>
          <w:tblHeader/>
        </w:trPr>
        <w:tc>
          <w:tcPr>
            <w:tcW w:w="12525" w:type="dxa"/>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2915" w:type="dxa"/>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r>
    </w:tbl>
    <w:p w:rsidR="00F76C43" w:rsidRDefault="00F76C43">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r>
        <w:rPr>
          <w:rFonts w:ascii="Arial" w:hAnsi="Arial" w:cs="Arial"/>
          <w:sz w:val="10"/>
          <w:szCs w:val="10"/>
        </w:rPr>
        <w:br/>
      </w:r>
    </w:p>
    <w:tbl>
      <w:tblPr>
        <w:tblW w:w="16101" w:type="dxa"/>
        <w:jc w:val="center"/>
        <w:tblInd w:w="10" w:type="dxa"/>
        <w:tblLayout w:type="fixed"/>
        <w:tblLook w:val="0000" w:firstRow="0" w:lastRow="0" w:firstColumn="0" w:lastColumn="0" w:noHBand="0" w:noVBand="0"/>
      </w:tblPr>
      <w:tblGrid>
        <w:gridCol w:w="321"/>
        <w:gridCol w:w="49"/>
        <w:gridCol w:w="190"/>
        <w:gridCol w:w="519"/>
        <w:gridCol w:w="39"/>
        <w:gridCol w:w="265"/>
        <w:gridCol w:w="35"/>
        <w:gridCol w:w="1134"/>
        <w:gridCol w:w="1134"/>
        <w:gridCol w:w="936"/>
        <w:gridCol w:w="324"/>
        <w:gridCol w:w="385"/>
        <w:gridCol w:w="681"/>
        <w:gridCol w:w="311"/>
        <w:gridCol w:w="993"/>
        <w:gridCol w:w="15"/>
        <w:gridCol w:w="693"/>
        <w:gridCol w:w="1270"/>
        <w:gridCol w:w="6"/>
        <w:gridCol w:w="1276"/>
        <w:gridCol w:w="551"/>
        <w:gridCol w:w="158"/>
        <w:gridCol w:w="970"/>
        <w:gridCol w:w="219"/>
        <w:gridCol w:w="1393"/>
        <w:gridCol w:w="2234"/>
      </w:tblGrid>
      <w:tr w:rsidR="00A76A67" w:rsidTr="00954F63">
        <w:tblPrEx>
          <w:tblCellMar>
            <w:top w:w="0" w:type="dxa"/>
            <w:bottom w:w="0" w:type="dxa"/>
          </w:tblCellMar>
        </w:tblPrEx>
        <w:trPr>
          <w:gridAfter w:val="2"/>
          <w:wAfter w:w="3627" w:type="dxa"/>
          <w:trHeight w:val="859"/>
          <w:jc w:val="center"/>
        </w:trPr>
        <w:tc>
          <w:tcPr>
            <w:tcW w:w="1418" w:type="dxa"/>
            <w:gridSpan w:val="7"/>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A76A67" w:rsidRDefault="00A76A6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Показатели </w:t>
            </w:r>
            <w:r>
              <w:rPr>
                <w:rFonts w:ascii="Times New Roman" w:hAnsi="Times New Roman"/>
                <w:color w:val="000000"/>
                <w:sz w:val="20"/>
                <w:szCs w:val="20"/>
              </w:rPr>
              <w:br/>
              <w:t xml:space="preserve">уровня </w:t>
            </w:r>
            <w:r>
              <w:rPr>
                <w:rFonts w:ascii="Times New Roman" w:hAnsi="Times New Roman"/>
                <w:color w:val="000000"/>
                <w:sz w:val="20"/>
                <w:szCs w:val="20"/>
              </w:rPr>
              <w:br/>
              <w:t>государственной</w:t>
            </w:r>
            <w:r>
              <w:rPr>
                <w:rFonts w:ascii="Times New Roman" w:hAnsi="Times New Roman"/>
                <w:color w:val="000000"/>
                <w:sz w:val="20"/>
                <w:szCs w:val="20"/>
              </w:rPr>
              <w:br/>
              <w:t xml:space="preserve">программы (комплексной программы) </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6A67" w:rsidRDefault="00A76A6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Бюджет</w:t>
            </w:r>
          </w:p>
        </w:tc>
        <w:tc>
          <w:tcPr>
            <w:tcW w:w="8788" w:type="dxa"/>
            <w:gridSpan w:val="15"/>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center"/>
          </w:tcPr>
          <w:p w:rsidR="00A76A67" w:rsidRDefault="00A76A67" w:rsidP="00954F63">
            <w:pPr>
              <w:jc w:val="center"/>
            </w:pPr>
            <w:r>
              <w:rPr>
                <w:rFonts w:ascii="Times New Roman" w:hAnsi="Times New Roman"/>
                <w:color w:val="000000"/>
                <w:sz w:val="18"/>
                <w:szCs w:val="18"/>
              </w:rPr>
              <w:t>Структурные элементы государственной программы (комплексной программы)</w:t>
            </w:r>
          </w:p>
        </w:tc>
      </w:tr>
      <w:tr w:rsidR="00A76A67" w:rsidTr="00954F63">
        <w:tblPrEx>
          <w:tblCellMar>
            <w:top w:w="0" w:type="dxa"/>
            <w:bottom w:w="0" w:type="dxa"/>
          </w:tblCellMar>
        </w:tblPrEx>
        <w:trPr>
          <w:gridAfter w:val="2"/>
          <w:wAfter w:w="3627" w:type="dxa"/>
          <w:trHeight w:val="2375"/>
          <w:jc w:val="center"/>
        </w:trPr>
        <w:tc>
          <w:tcPr>
            <w:tcW w:w="1418" w:type="dxa"/>
            <w:gridSpan w:val="7"/>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A76A67" w:rsidRDefault="00A76A67">
            <w:pPr>
              <w:widowControl w:val="0"/>
              <w:autoSpaceDE w:val="0"/>
              <w:autoSpaceDN w:val="0"/>
              <w:adjustRightInd w:val="0"/>
              <w:spacing w:after="0" w:line="240" w:lineRule="auto"/>
              <w:rPr>
                <w:rFonts w:ascii="Arial" w:hAnsi="Arial" w:cs="Arial"/>
                <w:sz w:val="2"/>
                <w:szCs w:val="2"/>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6A67" w:rsidRDefault="00A76A6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 кассового исполнения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6A67" w:rsidRDefault="00A76A6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Справочно: объем не исполненных бюджетных ассигнований </w:t>
            </w:r>
          </w:p>
        </w:tc>
        <w:tc>
          <w:tcPr>
            <w:tcW w:w="2637"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6A67" w:rsidRDefault="00A76A6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w:t>
            </w:r>
          </w:p>
        </w:tc>
        <w:tc>
          <w:tcPr>
            <w:tcW w:w="2977"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6A67" w:rsidRDefault="00A76A6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Мероприятия (результаты)</w:t>
            </w:r>
          </w:p>
        </w:tc>
        <w:tc>
          <w:tcPr>
            <w:tcW w:w="317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6A67" w:rsidRDefault="00A76A6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Контрольные точки</w:t>
            </w:r>
          </w:p>
        </w:tc>
      </w:tr>
      <w:tr w:rsidR="00764262" w:rsidTr="00954F63">
        <w:tblPrEx>
          <w:tblCellMar>
            <w:top w:w="0" w:type="dxa"/>
            <w:bottom w:w="0" w:type="dxa"/>
          </w:tblCellMar>
        </w:tblPrEx>
        <w:trPr>
          <w:gridAfter w:val="2"/>
          <w:wAfter w:w="3627" w:type="dxa"/>
          <w:trHeight w:val="149"/>
          <w:jc w:val="center"/>
        </w:trPr>
        <w:tc>
          <w:tcPr>
            <w:tcW w:w="370" w:type="dxa"/>
            <w:gridSpan w:val="2"/>
            <w:tcBorders>
              <w:top w:val="single" w:sz="8" w:space="0" w:color="000000"/>
              <w:left w:val="single" w:sz="8" w:space="0" w:color="000000"/>
              <w:bottom w:val="nil"/>
              <w:right w:val="nil"/>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709" w:type="dxa"/>
            <w:gridSpan w:val="2"/>
            <w:tcBorders>
              <w:top w:val="single" w:sz="8" w:space="0" w:color="000000"/>
              <w:left w:val="nil"/>
              <w:bottom w:val="single" w:sz="8" w:space="0" w:color="000000"/>
              <w:right w:val="nil"/>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39" w:type="dxa"/>
            <w:gridSpan w:val="3"/>
            <w:tcBorders>
              <w:top w:val="single" w:sz="8" w:space="0" w:color="000000"/>
              <w:left w:val="nil"/>
              <w:bottom w:val="nil"/>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1134"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1134" w:type="dxa"/>
            <w:tcBorders>
              <w:top w:val="single" w:sz="8" w:space="0" w:color="000000"/>
              <w:left w:val="single" w:sz="8" w:space="0" w:color="000000"/>
              <w:bottom w:val="nil"/>
              <w:right w:val="single" w:sz="4" w:space="0" w:color="auto"/>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936" w:type="dxa"/>
            <w:tcBorders>
              <w:top w:val="single" w:sz="8" w:space="0" w:color="000000"/>
              <w:left w:val="single" w:sz="4" w:space="0" w:color="auto"/>
              <w:right w:val="nil"/>
            </w:tcBorders>
            <w:tcMar>
              <w:top w:w="0" w:type="dxa"/>
              <w:left w:w="0" w:type="dxa"/>
              <w:bottom w:w="0" w:type="dxa"/>
              <w:right w:w="0" w:type="dxa"/>
            </w:tcMa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c>
          <w:tcPr>
            <w:tcW w:w="709" w:type="dxa"/>
            <w:gridSpan w:val="2"/>
            <w:tcBorders>
              <w:top w:val="single" w:sz="8" w:space="0" w:color="000000"/>
              <w:left w:val="nil"/>
              <w:bottom w:val="single" w:sz="4" w:space="0" w:color="auto"/>
              <w:right w:val="nil"/>
            </w:tcBorders>
            <w:tcMar>
              <w:top w:w="0" w:type="dxa"/>
              <w:left w:w="0" w:type="dxa"/>
              <w:bottom w:w="0" w:type="dxa"/>
              <w:right w:w="0" w:type="dxa"/>
            </w:tcMa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c>
          <w:tcPr>
            <w:tcW w:w="992" w:type="dxa"/>
            <w:gridSpan w:val="2"/>
            <w:tcBorders>
              <w:top w:val="single" w:sz="8" w:space="0" w:color="000000"/>
              <w:left w:val="nil"/>
              <w:right w:val="single" w:sz="4" w:space="0" w:color="auto"/>
            </w:tcBorders>
            <w:tcMar>
              <w:top w:w="0" w:type="dxa"/>
              <w:left w:w="0" w:type="dxa"/>
              <w:bottom w:w="0" w:type="dxa"/>
              <w:right w:w="0" w:type="dxa"/>
            </w:tcMa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c>
          <w:tcPr>
            <w:tcW w:w="993" w:type="dxa"/>
            <w:tcBorders>
              <w:top w:val="single" w:sz="8" w:space="0" w:color="000000"/>
              <w:left w:val="single" w:sz="4" w:space="0" w:color="auto"/>
              <w:right w:val="nil"/>
            </w:tcBorders>
            <w:tcMar>
              <w:top w:w="0" w:type="dxa"/>
              <w:left w:w="0" w:type="dxa"/>
              <w:bottom w:w="0" w:type="dxa"/>
              <w:right w:w="0" w:type="dxa"/>
            </w:tcMa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c>
          <w:tcPr>
            <w:tcW w:w="708" w:type="dxa"/>
            <w:gridSpan w:val="2"/>
            <w:tcBorders>
              <w:top w:val="single" w:sz="8" w:space="0" w:color="000000"/>
              <w:left w:val="nil"/>
              <w:bottom w:val="single" w:sz="4" w:space="0" w:color="auto"/>
              <w:right w:val="nil"/>
            </w:tcBorders>
            <w:tcMar>
              <w:top w:w="0" w:type="dxa"/>
              <w:left w:w="0" w:type="dxa"/>
              <w:bottom w:w="0" w:type="dxa"/>
              <w:right w:w="0" w:type="dxa"/>
            </w:tcMa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c>
          <w:tcPr>
            <w:tcW w:w="1276" w:type="dxa"/>
            <w:gridSpan w:val="2"/>
            <w:tcBorders>
              <w:top w:val="single" w:sz="8" w:space="0" w:color="000000"/>
              <w:left w:val="nil"/>
              <w:right w:val="single" w:sz="4" w:space="0" w:color="auto"/>
            </w:tcBorders>
            <w:tcMar>
              <w:top w:w="0" w:type="dxa"/>
              <w:left w:w="0" w:type="dxa"/>
              <w:bottom w:w="0" w:type="dxa"/>
              <w:right w:w="0" w:type="dxa"/>
            </w:tcMa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c>
          <w:tcPr>
            <w:tcW w:w="1276" w:type="dxa"/>
            <w:tcBorders>
              <w:top w:val="single" w:sz="8" w:space="0" w:color="000000"/>
              <w:left w:val="single" w:sz="4" w:space="0" w:color="auto"/>
              <w:right w:val="nil"/>
            </w:tcBorders>
            <w:tcMar>
              <w:top w:w="0" w:type="dxa"/>
              <w:left w:w="0" w:type="dxa"/>
              <w:bottom w:w="0" w:type="dxa"/>
              <w:right w:w="0" w:type="dxa"/>
            </w:tcMa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c>
          <w:tcPr>
            <w:tcW w:w="709" w:type="dxa"/>
            <w:gridSpan w:val="2"/>
            <w:tcBorders>
              <w:top w:val="single" w:sz="8" w:space="0" w:color="000000"/>
              <w:left w:val="nil"/>
              <w:bottom w:val="single" w:sz="4" w:space="0" w:color="auto"/>
              <w:right w:val="nil"/>
            </w:tcBorders>
            <w:tcMar>
              <w:top w:w="0" w:type="dxa"/>
              <w:left w:w="0" w:type="dxa"/>
              <w:bottom w:w="0" w:type="dxa"/>
              <w:right w:w="0" w:type="dxa"/>
            </w:tcMa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c>
          <w:tcPr>
            <w:tcW w:w="1189" w:type="dxa"/>
            <w:gridSpan w:val="2"/>
            <w:tcBorders>
              <w:top w:val="single" w:sz="8" w:space="0" w:color="000000"/>
              <w:left w:val="nil"/>
              <w:right w:val="single" w:sz="8" w:space="0" w:color="000000"/>
            </w:tcBorders>
            <w:tcMar>
              <w:top w:w="0" w:type="dxa"/>
              <w:left w:w="0" w:type="dxa"/>
              <w:bottom w:w="0" w:type="dxa"/>
              <w:right w:w="0" w:type="dxa"/>
            </w:tcMa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r>
      <w:tr w:rsidR="00764262" w:rsidTr="00954F63">
        <w:tblPrEx>
          <w:tblCellMar>
            <w:top w:w="0" w:type="dxa"/>
            <w:bottom w:w="0" w:type="dxa"/>
          </w:tblCellMar>
        </w:tblPrEx>
        <w:trPr>
          <w:gridAfter w:val="2"/>
          <w:wAfter w:w="3627" w:type="dxa"/>
          <w:trHeight w:val="519"/>
          <w:jc w:val="center"/>
        </w:trPr>
        <w:tc>
          <w:tcPr>
            <w:tcW w:w="370" w:type="dxa"/>
            <w:gridSpan w:val="2"/>
            <w:tcBorders>
              <w:top w:val="nil"/>
              <w:left w:val="single" w:sz="8" w:space="0" w:color="000000"/>
              <w:bottom w:val="nil"/>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228B22"/>
            <w:tcMar>
              <w:top w:w="0" w:type="dxa"/>
              <w:left w:w="0" w:type="dxa"/>
              <w:bottom w:w="0" w:type="dxa"/>
              <w:right w:w="0" w:type="dxa"/>
            </w:tcMar>
          </w:tcPr>
          <w:p w:rsidR="00F76C43" w:rsidRDefault="00F76C43" w:rsidP="00954F63">
            <w:pPr>
              <w:widowControl w:val="0"/>
              <w:autoSpaceDE w:val="0"/>
              <w:autoSpaceDN w:val="0"/>
              <w:adjustRightInd w:val="0"/>
              <w:spacing w:after="0" w:line="240" w:lineRule="auto"/>
              <w:jc w:val="center"/>
              <w:rPr>
                <w:rFonts w:ascii="Arial" w:hAnsi="Arial" w:cs="Arial"/>
                <w:sz w:val="2"/>
                <w:szCs w:val="2"/>
              </w:rPr>
            </w:pPr>
          </w:p>
        </w:tc>
        <w:tc>
          <w:tcPr>
            <w:tcW w:w="339" w:type="dxa"/>
            <w:gridSpan w:val="3"/>
            <w:tcBorders>
              <w:top w:val="nil"/>
              <w:left w:val="single" w:sz="8" w:space="0" w:color="000000"/>
              <w:bottom w:val="nil"/>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1134" w:type="dxa"/>
            <w:vMerge w:val="restart"/>
            <w:tcBorders>
              <w:top w:val="nil"/>
              <w:left w:val="single" w:sz="8" w:space="0" w:color="000000"/>
              <w:bottom w:val="nil"/>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66,36%</w:t>
            </w:r>
          </w:p>
        </w:tc>
        <w:tc>
          <w:tcPr>
            <w:tcW w:w="1134" w:type="dxa"/>
            <w:vMerge w:val="restart"/>
            <w:tcBorders>
              <w:top w:val="nil"/>
              <w:left w:val="single" w:sz="8" w:space="0" w:color="000000"/>
              <w:bottom w:val="nil"/>
              <w:right w:val="single" w:sz="4" w:space="0" w:color="auto"/>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w:t>
            </w:r>
          </w:p>
        </w:tc>
        <w:tc>
          <w:tcPr>
            <w:tcW w:w="936" w:type="dxa"/>
            <w:tcBorders>
              <w:left w:val="single" w:sz="4" w:space="0" w:color="auto"/>
              <w:right w:val="single" w:sz="4" w:space="0" w:color="auto"/>
            </w:tcBorders>
            <w:tcMar>
              <w:top w:w="0" w:type="dxa"/>
              <w:left w:w="0" w:type="dxa"/>
              <w:bottom w:w="0" w:type="dxa"/>
              <w:right w:w="0" w:type="dxa"/>
            </w:tcMar>
            <w:vAlign w:val="cente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228B22"/>
            <w:tcMar>
              <w:top w:w="0" w:type="dxa"/>
              <w:left w:w="0" w:type="dxa"/>
              <w:bottom w:w="0" w:type="dxa"/>
              <w:right w:w="0" w:type="dxa"/>
            </w:tcMar>
            <w:vAlign w:val="cente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c>
          <w:tcPr>
            <w:tcW w:w="992" w:type="dxa"/>
            <w:gridSpan w:val="2"/>
            <w:tcBorders>
              <w:left w:val="single" w:sz="4" w:space="0" w:color="auto"/>
              <w:right w:val="single" w:sz="4" w:space="0" w:color="auto"/>
            </w:tcBorders>
            <w:tcMar>
              <w:top w:w="0" w:type="dxa"/>
              <w:left w:w="0" w:type="dxa"/>
              <w:bottom w:w="0" w:type="dxa"/>
              <w:right w:w="0" w:type="dxa"/>
            </w:tcMar>
            <w:vAlign w:val="cente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c>
          <w:tcPr>
            <w:tcW w:w="993" w:type="dxa"/>
            <w:tcBorders>
              <w:left w:val="single" w:sz="4" w:space="0" w:color="auto"/>
              <w:right w:val="single" w:sz="4" w:space="0" w:color="auto"/>
            </w:tcBorders>
            <w:tcMar>
              <w:top w:w="0" w:type="dxa"/>
              <w:left w:w="0" w:type="dxa"/>
              <w:bottom w:w="0" w:type="dxa"/>
              <w:right w:w="0" w:type="dxa"/>
            </w:tcMar>
            <w:vAlign w:val="cente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228B22"/>
            <w:tcMar>
              <w:top w:w="0" w:type="dxa"/>
              <w:left w:w="0" w:type="dxa"/>
              <w:bottom w:w="0" w:type="dxa"/>
              <w:right w:w="0" w:type="dxa"/>
            </w:tcMar>
            <w:vAlign w:val="center"/>
          </w:tcPr>
          <w:p w:rsidR="00F76C43" w:rsidRDefault="00F76C43" w:rsidP="00764262">
            <w:pPr>
              <w:widowControl w:val="0"/>
              <w:autoSpaceDE w:val="0"/>
              <w:autoSpaceDN w:val="0"/>
              <w:adjustRightInd w:val="0"/>
              <w:spacing w:after="0" w:line="240" w:lineRule="auto"/>
              <w:ind w:right="-379"/>
              <w:jc w:val="center"/>
              <w:rPr>
                <w:rFonts w:ascii="Arial" w:hAnsi="Arial" w:cs="Arial"/>
                <w:sz w:val="2"/>
                <w:szCs w:val="2"/>
              </w:rPr>
            </w:pPr>
          </w:p>
        </w:tc>
        <w:tc>
          <w:tcPr>
            <w:tcW w:w="1276" w:type="dxa"/>
            <w:gridSpan w:val="2"/>
            <w:tcBorders>
              <w:left w:val="single" w:sz="4" w:space="0" w:color="auto"/>
              <w:right w:val="single" w:sz="4" w:space="0" w:color="auto"/>
            </w:tcBorders>
            <w:tcMar>
              <w:top w:w="0" w:type="dxa"/>
              <w:left w:w="0" w:type="dxa"/>
              <w:bottom w:w="0" w:type="dxa"/>
              <w:right w:w="0" w:type="dxa"/>
            </w:tcMar>
            <w:vAlign w:val="cente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c>
          <w:tcPr>
            <w:tcW w:w="1276" w:type="dxa"/>
            <w:tcBorders>
              <w:left w:val="single" w:sz="4" w:space="0" w:color="auto"/>
              <w:right w:val="single" w:sz="4" w:space="0" w:color="auto"/>
            </w:tcBorders>
            <w:tcMar>
              <w:top w:w="0" w:type="dxa"/>
              <w:left w:w="0" w:type="dxa"/>
              <w:bottom w:w="0" w:type="dxa"/>
              <w:right w:w="0" w:type="dxa"/>
            </w:tcMar>
            <w:vAlign w:val="cente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228B22"/>
            <w:tcMar>
              <w:top w:w="0" w:type="dxa"/>
              <w:left w:w="0" w:type="dxa"/>
              <w:bottom w:w="0" w:type="dxa"/>
              <w:right w:w="0" w:type="dxa"/>
            </w:tcMar>
            <w:vAlign w:val="cente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c>
          <w:tcPr>
            <w:tcW w:w="1189" w:type="dxa"/>
            <w:gridSpan w:val="2"/>
            <w:tcBorders>
              <w:left w:val="single" w:sz="4" w:space="0" w:color="auto"/>
              <w:right w:val="single" w:sz="4" w:space="0" w:color="auto"/>
            </w:tcBorders>
            <w:tcMar>
              <w:top w:w="0" w:type="dxa"/>
              <w:left w:w="0" w:type="dxa"/>
              <w:bottom w:w="0" w:type="dxa"/>
              <w:right w:w="0" w:type="dxa"/>
            </w:tcMar>
            <w:vAlign w:val="center"/>
          </w:tcPr>
          <w:p w:rsidR="00F76C43" w:rsidRDefault="00F76C43" w:rsidP="00764262">
            <w:pPr>
              <w:widowControl w:val="0"/>
              <w:autoSpaceDE w:val="0"/>
              <w:autoSpaceDN w:val="0"/>
              <w:adjustRightInd w:val="0"/>
              <w:spacing w:after="0" w:line="240" w:lineRule="auto"/>
              <w:jc w:val="center"/>
              <w:rPr>
                <w:rFonts w:ascii="Arial" w:hAnsi="Arial" w:cs="Arial"/>
                <w:sz w:val="2"/>
                <w:szCs w:val="2"/>
              </w:rPr>
            </w:pPr>
          </w:p>
        </w:tc>
      </w:tr>
      <w:tr w:rsidR="00764262" w:rsidTr="00954F63">
        <w:tblPrEx>
          <w:tblCellMar>
            <w:top w:w="0" w:type="dxa"/>
            <w:bottom w:w="0" w:type="dxa"/>
          </w:tblCellMar>
        </w:tblPrEx>
        <w:trPr>
          <w:gridAfter w:val="2"/>
          <w:wAfter w:w="3627" w:type="dxa"/>
          <w:trHeight w:val="271"/>
          <w:jc w:val="center"/>
        </w:trPr>
        <w:tc>
          <w:tcPr>
            <w:tcW w:w="370" w:type="dxa"/>
            <w:gridSpan w:val="2"/>
            <w:tcBorders>
              <w:top w:val="nil"/>
              <w:left w:val="single" w:sz="8" w:space="0" w:color="000000"/>
              <w:bottom w:val="single" w:sz="8" w:space="0" w:color="000000"/>
              <w:right w:val="nil"/>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709" w:type="dxa"/>
            <w:gridSpan w:val="2"/>
            <w:tcBorders>
              <w:top w:val="single" w:sz="8" w:space="0" w:color="000000"/>
              <w:left w:val="nil"/>
              <w:bottom w:val="single" w:sz="8" w:space="0" w:color="000000"/>
              <w:right w:val="nil"/>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39" w:type="dxa"/>
            <w:gridSpan w:val="3"/>
            <w:tcBorders>
              <w:top w:val="nil"/>
              <w:left w:val="nil"/>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1134" w:type="dxa"/>
            <w:vMerge/>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936" w:type="dxa"/>
            <w:tcBorders>
              <w:left w:val="single" w:sz="4" w:space="0" w:color="auto"/>
              <w:bottom w:val="single" w:sz="8" w:space="0" w:color="000000"/>
              <w:right w:val="nil"/>
            </w:tcBorders>
            <w:tcMar>
              <w:top w:w="0" w:type="dxa"/>
              <w:left w:w="0" w:type="dxa"/>
              <w:bottom w:w="0" w:type="dxa"/>
              <w:right w:w="0" w:type="dxa"/>
            </w:tcMar>
          </w:tcPr>
          <w:p w:rsidR="00F76C43" w:rsidRDefault="00F76C43" w:rsidP="00A76A67">
            <w:pPr>
              <w:widowControl w:val="0"/>
              <w:autoSpaceDE w:val="0"/>
              <w:autoSpaceDN w:val="0"/>
              <w:adjustRightInd w:val="0"/>
              <w:spacing w:after="0" w:line="240" w:lineRule="auto"/>
              <w:jc w:val="center"/>
              <w:rPr>
                <w:rFonts w:ascii="Arial" w:hAnsi="Arial" w:cs="Arial"/>
                <w:sz w:val="2"/>
                <w:szCs w:val="2"/>
              </w:rPr>
            </w:pPr>
          </w:p>
        </w:tc>
        <w:tc>
          <w:tcPr>
            <w:tcW w:w="709" w:type="dxa"/>
            <w:gridSpan w:val="2"/>
            <w:tcBorders>
              <w:top w:val="single" w:sz="4" w:space="0" w:color="auto"/>
              <w:left w:val="nil"/>
              <w:bottom w:val="single" w:sz="8" w:space="0" w:color="000000"/>
              <w:right w:val="nil"/>
            </w:tcBorders>
            <w:tcMar>
              <w:top w:w="0" w:type="dxa"/>
              <w:left w:w="0" w:type="dxa"/>
              <w:bottom w:w="0" w:type="dxa"/>
              <w:right w:w="0" w:type="dxa"/>
            </w:tcMar>
          </w:tcPr>
          <w:p w:rsidR="00F76C43" w:rsidRDefault="00F76C43" w:rsidP="00A76A67">
            <w:pPr>
              <w:widowControl w:val="0"/>
              <w:autoSpaceDE w:val="0"/>
              <w:autoSpaceDN w:val="0"/>
              <w:adjustRightInd w:val="0"/>
              <w:spacing w:after="0" w:line="240" w:lineRule="auto"/>
              <w:jc w:val="center"/>
              <w:rPr>
                <w:rFonts w:ascii="Arial" w:hAnsi="Arial" w:cs="Arial"/>
                <w:sz w:val="2"/>
                <w:szCs w:val="2"/>
              </w:rPr>
            </w:pPr>
          </w:p>
        </w:tc>
        <w:tc>
          <w:tcPr>
            <w:tcW w:w="992" w:type="dxa"/>
            <w:gridSpan w:val="2"/>
            <w:tcBorders>
              <w:left w:val="nil"/>
              <w:bottom w:val="single" w:sz="8" w:space="0" w:color="000000"/>
              <w:right w:val="single" w:sz="4" w:space="0" w:color="auto"/>
            </w:tcBorders>
            <w:tcMar>
              <w:top w:w="0" w:type="dxa"/>
              <w:left w:w="0" w:type="dxa"/>
              <w:bottom w:w="0" w:type="dxa"/>
              <w:right w:w="0" w:type="dxa"/>
            </w:tcMar>
          </w:tcPr>
          <w:p w:rsidR="00F76C43" w:rsidRDefault="00F76C43" w:rsidP="00A76A67">
            <w:pPr>
              <w:widowControl w:val="0"/>
              <w:autoSpaceDE w:val="0"/>
              <w:autoSpaceDN w:val="0"/>
              <w:adjustRightInd w:val="0"/>
              <w:spacing w:after="0" w:line="240" w:lineRule="auto"/>
              <w:jc w:val="center"/>
              <w:rPr>
                <w:rFonts w:ascii="Arial" w:hAnsi="Arial" w:cs="Arial"/>
                <w:sz w:val="2"/>
                <w:szCs w:val="2"/>
              </w:rPr>
            </w:pPr>
          </w:p>
        </w:tc>
        <w:tc>
          <w:tcPr>
            <w:tcW w:w="993" w:type="dxa"/>
            <w:tcBorders>
              <w:left w:val="single" w:sz="4" w:space="0" w:color="auto"/>
              <w:bottom w:val="single" w:sz="8" w:space="0" w:color="000000"/>
              <w:right w:val="nil"/>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708" w:type="dxa"/>
            <w:gridSpan w:val="2"/>
            <w:tcBorders>
              <w:top w:val="single" w:sz="4" w:space="0" w:color="auto"/>
              <w:left w:val="nil"/>
              <w:bottom w:val="single" w:sz="8" w:space="0" w:color="000000"/>
              <w:right w:val="nil"/>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1276" w:type="dxa"/>
            <w:gridSpan w:val="2"/>
            <w:tcBorders>
              <w:left w:val="nil"/>
              <w:bottom w:val="single" w:sz="8" w:space="0" w:color="000000"/>
              <w:right w:val="single" w:sz="4" w:space="0" w:color="auto"/>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1276" w:type="dxa"/>
            <w:tcBorders>
              <w:left w:val="single" w:sz="4" w:space="0" w:color="auto"/>
              <w:bottom w:val="single" w:sz="8" w:space="0" w:color="000000"/>
              <w:right w:val="nil"/>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709" w:type="dxa"/>
            <w:gridSpan w:val="2"/>
            <w:tcBorders>
              <w:top w:val="single" w:sz="4" w:space="0" w:color="auto"/>
              <w:left w:val="nil"/>
              <w:bottom w:val="single" w:sz="8" w:space="0" w:color="000000"/>
              <w:right w:val="nil"/>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1189" w:type="dxa"/>
            <w:gridSpan w:val="2"/>
            <w:tcBorders>
              <w:left w:val="nil"/>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r>
      <w:tr w:rsidR="00A76A67" w:rsidTr="00954F63">
        <w:tblPrEx>
          <w:tblCellMar>
            <w:top w:w="0" w:type="dxa"/>
            <w:bottom w:w="0" w:type="dxa"/>
          </w:tblCellMar>
        </w:tblPrEx>
        <w:trPr>
          <w:gridAfter w:val="2"/>
          <w:wAfter w:w="3627" w:type="dxa"/>
          <w:trHeight w:val="909"/>
          <w:jc w:val="center"/>
        </w:trPr>
        <w:tc>
          <w:tcPr>
            <w:tcW w:w="141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954F6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lastRenderedPageBreak/>
              <w:t>Отсутствие отклонений</w:t>
            </w: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jc w:val="center"/>
              <w:rPr>
                <w:rFonts w:ascii="Arial" w:hAnsi="Arial" w:cs="Arial"/>
                <w:sz w:val="2"/>
                <w:szCs w:val="2"/>
              </w:rPr>
            </w:pPr>
          </w:p>
        </w:tc>
        <w:tc>
          <w:tcPr>
            <w:tcW w:w="1134" w:type="dxa"/>
            <w:vMerge/>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rsidR="00F76C43" w:rsidRDefault="00F76C43">
            <w:pPr>
              <w:widowControl w:val="0"/>
              <w:autoSpaceDE w:val="0"/>
              <w:autoSpaceDN w:val="0"/>
              <w:adjustRightInd w:val="0"/>
              <w:spacing w:after="0" w:line="240" w:lineRule="auto"/>
              <w:jc w:val="center"/>
              <w:rPr>
                <w:rFonts w:ascii="Arial" w:hAnsi="Arial" w:cs="Arial"/>
                <w:sz w:val="2"/>
                <w:szCs w:val="2"/>
              </w:rPr>
            </w:pPr>
          </w:p>
        </w:tc>
        <w:tc>
          <w:tcPr>
            <w:tcW w:w="2637" w:type="dxa"/>
            <w:gridSpan w:val="5"/>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Отсутствие отклонений</w:t>
            </w:r>
          </w:p>
        </w:tc>
        <w:tc>
          <w:tcPr>
            <w:tcW w:w="2977"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Отсутствие отклонений</w:t>
            </w:r>
          </w:p>
        </w:tc>
        <w:tc>
          <w:tcPr>
            <w:tcW w:w="317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Отсутствие отклонений</w:t>
            </w:r>
          </w:p>
        </w:tc>
      </w:tr>
      <w:tr w:rsidR="00A76A67" w:rsidTr="00954F63">
        <w:tblPrEx>
          <w:tblCellMar>
            <w:top w:w="0" w:type="dxa"/>
            <w:bottom w:w="0" w:type="dxa"/>
          </w:tblCellMar>
        </w:tblPrEx>
        <w:trPr>
          <w:gridAfter w:val="2"/>
          <w:wAfter w:w="3627" w:type="dxa"/>
          <w:trHeight w:val="685"/>
          <w:jc w:val="center"/>
        </w:trPr>
        <w:tc>
          <w:tcPr>
            <w:tcW w:w="141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1134" w:type="dxa"/>
            <w:vMerge/>
            <w:tcBorders>
              <w:top w:val="nil"/>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1134" w:type="dxa"/>
            <w:vMerge/>
            <w:tcBorders>
              <w:top w:val="nil"/>
              <w:left w:val="single" w:sz="8" w:space="0" w:color="000000"/>
              <w:bottom w:val="single" w:sz="8" w:space="0" w:color="000000"/>
              <w:right w:val="single" w:sz="4" w:space="0" w:color="auto"/>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2637" w:type="dxa"/>
            <w:gridSpan w:val="5"/>
            <w:tcBorders>
              <w:top w:val="single" w:sz="8" w:space="0" w:color="000000"/>
              <w:left w:val="single" w:sz="4" w:space="0" w:color="auto"/>
              <w:bottom w:val="single" w:sz="8" w:space="0" w:color="000000"/>
              <w:right w:val="single" w:sz="8" w:space="0" w:color="000000"/>
            </w:tcBorders>
            <w:tcMar>
              <w:top w:w="0" w:type="dxa"/>
              <w:left w:w="0" w:type="dxa"/>
              <w:bottom w:w="0" w:type="dxa"/>
              <w:right w:w="0" w:type="dxa"/>
            </w:tcMar>
          </w:tcPr>
          <w:p w:rsidR="00F76C43" w:rsidRDefault="00F76C43" w:rsidP="00764262">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Ведомственный проект </w:t>
            </w:r>
            <w:r>
              <w:rPr>
                <w:rFonts w:ascii="Times New Roman" w:hAnsi="Times New Roman"/>
                <w:color w:val="000000"/>
                <w:sz w:val="20"/>
                <w:szCs w:val="20"/>
              </w:rPr>
              <w:br/>
              <w:t>«Развитие общего, профессионального и дополнительного образования»;</w:t>
            </w:r>
            <w:r>
              <w:rPr>
                <w:rFonts w:ascii="Times New Roman" w:hAnsi="Times New Roman"/>
                <w:color w:val="000000"/>
                <w:sz w:val="20"/>
                <w:szCs w:val="20"/>
              </w:rPr>
              <w:br/>
              <w:t>Комплекс процессных мероприятий</w:t>
            </w:r>
            <w:r>
              <w:rPr>
                <w:rFonts w:ascii="Times New Roman" w:hAnsi="Times New Roman"/>
                <w:color w:val="000000"/>
                <w:sz w:val="20"/>
                <w:szCs w:val="20"/>
              </w:rPr>
              <w:br/>
              <w:t>«Предоставление общего, профессионального и дополнительного образования»;</w:t>
            </w:r>
            <w:r>
              <w:rPr>
                <w:rFonts w:ascii="Times New Roman" w:hAnsi="Times New Roman"/>
                <w:color w:val="000000"/>
                <w:sz w:val="20"/>
                <w:szCs w:val="20"/>
              </w:rPr>
              <w:br/>
              <w:t>Проект, входящий в Нацпроекты</w:t>
            </w:r>
            <w:r>
              <w:rPr>
                <w:rFonts w:ascii="Times New Roman" w:hAnsi="Times New Roman"/>
                <w:color w:val="000000"/>
                <w:sz w:val="20"/>
                <w:szCs w:val="20"/>
              </w:rPr>
              <w:br/>
              <w:t>«Современная школа»;</w:t>
            </w:r>
            <w:r>
              <w:rPr>
                <w:rFonts w:ascii="Times New Roman" w:hAnsi="Times New Roman"/>
                <w:color w:val="000000"/>
                <w:sz w:val="20"/>
                <w:szCs w:val="20"/>
              </w:rPr>
              <w:br/>
              <w:t>Проект, входящий в Нацпроекты</w:t>
            </w:r>
            <w:r>
              <w:rPr>
                <w:rFonts w:ascii="Times New Roman" w:hAnsi="Times New Roman"/>
                <w:color w:val="000000"/>
                <w:sz w:val="20"/>
                <w:szCs w:val="20"/>
              </w:rPr>
              <w:br/>
              <w:t>«Социальная активность»;</w:t>
            </w:r>
            <w:r>
              <w:rPr>
                <w:rFonts w:ascii="Times New Roman" w:hAnsi="Times New Roman"/>
                <w:color w:val="000000"/>
                <w:sz w:val="20"/>
                <w:szCs w:val="20"/>
              </w:rPr>
              <w:br/>
              <w:t>Проект, входящий в Нацпроекты</w:t>
            </w:r>
            <w:r>
              <w:rPr>
                <w:rFonts w:ascii="Times New Roman" w:hAnsi="Times New Roman"/>
                <w:color w:val="000000"/>
                <w:sz w:val="20"/>
                <w:szCs w:val="20"/>
              </w:rPr>
              <w:br/>
              <w:t>«Успех каждого ребенка»;</w:t>
            </w:r>
            <w:r>
              <w:rPr>
                <w:rFonts w:ascii="Times New Roman" w:hAnsi="Times New Roman"/>
                <w:color w:val="000000"/>
                <w:sz w:val="20"/>
                <w:szCs w:val="20"/>
              </w:rPr>
              <w:br/>
              <w:t>Проект, входящий в Нацпроекты</w:t>
            </w:r>
            <w:r>
              <w:rPr>
                <w:rFonts w:ascii="Times New Roman" w:hAnsi="Times New Roman"/>
                <w:color w:val="000000"/>
                <w:sz w:val="20"/>
                <w:szCs w:val="20"/>
              </w:rPr>
              <w:br/>
              <w:t>«Цифровая образовательная среда»;</w:t>
            </w:r>
            <w:r>
              <w:rPr>
                <w:rFonts w:ascii="Times New Roman" w:hAnsi="Times New Roman"/>
                <w:color w:val="000000"/>
                <w:sz w:val="20"/>
                <w:szCs w:val="20"/>
              </w:rPr>
              <w:br/>
              <w:t xml:space="preserve">Региональный проект </w:t>
            </w:r>
            <w:r>
              <w:rPr>
                <w:rFonts w:ascii="Times New Roman" w:hAnsi="Times New Roman"/>
                <w:color w:val="000000"/>
                <w:sz w:val="20"/>
                <w:szCs w:val="20"/>
              </w:rPr>
              <w:br/>
              <w:t>«Модернизация школьной системы образования Ивановской области»;</w:t>
            </w:r>
            <w:r>
              <w:rPr>
                <w:rFonts w:ascii="Times New Roman" w:hAnsi="Times New Roman"/>
                <w:color w:val="000000"/>
                <w:sz w:val="20"/>
                <w:szCs w:val="20"/>
              </w:rPr>
              <w:br/>
            </w:r>
          </w:p>
        </w:tc>
        <w:tc>
          <w:tcPr>
            <w:tcW w:w="2977"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rsidP="00764262">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Ведомственный проект </w:t>
            </w:r>
            <w:r>
              <w:rPr>
                <w:rFonts w:ascii="Times New Roman" w:hAnsi="Times New Roman"/>
                <w:color w:val="000000"/>
                <w:sz w:val="20"/>
                <w:szCs w:val="20"/>
              </w:rPr>
              <w:br/>
              <w:t>«Оказание поддержки реализации научных, образовательных проектов и развитие инфраструктуры»;</w:t>
            </w:r>
            <w:r>
              <w:rPr>
                <w:rFonts w:ascii="Times New Roman" w:hAnsi="Times New Roman"/>
                <w:color w:val="000000"/>
                <w:sz w:val="20"/>
                <w:szCs w:val="20"/>
              </w:rPr>
              <w:br/>
              <w:t xml:space="preserve">Ведомственный проект </w:t>
            </w:r>
            <w:r>
              <w:rPr>
                <w:rFonts w:ascii="Times New Roman" w:hAnsi="Times New Roman"/>
                <w:color w:val="000000"/>
                <w:sz w:val="20"/>
                <w:szCs w:val="20"/>
              </w:rPr>
              <w:br/>
              <w:t>«Развитие общего, профессионального и дополнительного образования»;</w:t>
            </w:r>
            <w:r>
              <w:rPr>
                <w:rFonts w:ascii="Times New Roman" w:hAnsi="Times New Roman"/>
                <w:color w:val="000000"/>
                <w:sz w:val="20"/>
                <w:szCs w:val="20"/>
              </w:rPr>
              <w:br/>
              <w:t xml:space="preserve">Ведомственный проект </w:t>
            </w:r>
            <w:r>
              <w:rPr>
                <w:rFonts w:ascii="Times New Roman" w:hAnsi="Times New Roman"/>
                <w:color w:val="000000"/>
                <w:sz w:val="20"/>
                <w:szCs w:val="20"/>
              </w:rPr>
              <w:br/>
              <w:t>«Социальная поддержка в сфере образования»;</w:t>
            </w:r>
            <w:r>
              <w:rPr>
                <w:rFonts w:ascii="Times New Roman" w:hAnsi="Times New Roman"/>
                <w:color w:val="000000"/>
                <w:sz w:val="20"/>
                <w:szCs w:val="20"/>
              </w:rPr>
              <w:br/>
              <w:t>Комплекс процессных мероприятий</w:t>
            </w:r>
            <w:r>
              <w:rPr>
                <w:rFonts w:ascii="Times New Roman" w:hAnsi="Times New Roman"/>
                <w:color w:val="000000"/>
                <w:sz w:val="20"/>
                <w:szCs w:val="20"/>
              </w:rPr>
              <w:br/>
              <w:t>«Предоставление общего, профессионального и дополнительного образования»;</w:t>
            </w:r>
            <w:r>
              <w:rPr>
                <w:rFonts w:ascii="Times New Roman" w:hAnsi="Times New Roman"/>
                <w:color w:val="000000"/>
                <w:sz w:val="20"/>
                <w:szCs w:val="20"/>
              </w:rPr>
              <w:br/>
              <w:t>Проект, входящий в Нацпроекты</w:t>
            </w:r>
            <w:r>
              <w:rPr>
                <w:rFonts w:ascii="Times New Roman" w:hAnsi="Times New Roman"/>
                <w:color w:val="000000"/>
                <w:sz w:val="20"/>
                <w:szCs w:val="20"/>
              </w:rPr>
              <w:br/>
              <w:t>«Патриотическое воспитание граждан Российской Федерации»;</w:t>
            </w:r>
            <w:r>
              <w:rPr>
                <w:rFonts w:ascii="Times New Roman" w:hAnsi="Times New Roman"/>
                <w:color w:val="000000"/>
                <w:sz w:val="20"/>
                <w:szCs w:val="20"/>
              </w:rPr>
              <w:br/>
              <w:t>Проект, входящий в Нацпроекты</w:t>
            </w:r>
            <w:r>
              <w:rPr>
                <w:rFonts w:ascii="Times New Roman" w:hAnsi="Times New Roman"/>
                <w:color w:val="000000"/>
                <w:sz w:val="20"/>
                <w:szCs w:val="20"/>
              </w:rPr>
              <w:br/>
              <w:t>«Развитие системы поддержки молодежи («Молодежь России»)»;</w:t>
            </w:r>
            <w:r>
              <w:rPr>
                <w:rFonts w:ascii="Times New Roman" w:hAnsi="Times New Roman"/>
                <w:color w:val="000000"/>
                <w:sz w:val="20"/>
                <w:szCs w:val="20"/>
              </w:rPr>
              <w:br/>
              <w:t>Проект, входящий в Нацпроекты</w:t>
            </w:r>
            <w:r>
              <w:rPr>
                <w:rFonts w:ascii="Times New Roman" w:hAnsi="Times New Roman"/>
                <w:color w:val="000000"/>
                <w:sz w:val="20"/>
                <w:szCs w:val="20"/>
              </w:rPr>
              <w:br/>
              <w:t>«Современная школа»;</w:t>
            </w:r>
            <w:r>
              <w:rPr>
                <w:rFonts w:ascii="Times New Roman" w:hAnsi="Times New Roman"/>
                <w:color w:val="000000"/>
                <w:sz w:val="20"/>
                <w:szCs w:val="20"/>
              </w:rPr>
              <w:br/>
              <w:t>Проект, входящий в Нацпроекты</w:t>
            </w:r>
            <w:r>
              <w:rPr>
                <w:rFonts w:ascii="Times New Roman" w:hAnsi="Times New Roman"/>
                <w:color w:val="000000"/>
                <w:sz w:val="20"/>
                <w:szCs w:val="20"/>
              </w:rPr>
              <w:br/>
              <w:t>«Социальная активность»;</w:t>
            </w:r>
            <w:r>
              <w:rPr>
                <w:rFonts w:ascii="Times New Roman" w:hAnsi="Times New Roman"/>
                <w:color w:val="000000"/>
                <w:sz w:val="20"/>
                <w:szCs w:val="20"/>
              </w:rPr>
              <w:br/>
              <w:t>Проект, входящий в Нацпроекты</w:t>
            </w:r>
            <w:r>
              <w:rPr>
                <w:rFonts w:ascii="Times New Roman" w:hAnsi="Times New Roman"/>
                <w:color w:val="000000"/>
                <w:sz w:val="20"/>
                <w:szCs w:val="20"/>
              </w:rPr>
              <w:br/>
              <w:t>«Успех каждого ребенка»;</w:t>
            </w:r>
            <w:r>
              <w:rPr>
                <w:rFonts w:ascii="Times New Roman" w:hAnsi="Times New Roman"/>
                <w:color w:val="000000"/>
                <w:sz w:val="20"/>
                <w:szCs w:val="20"/>
              </w:rPr>
              <w:br/>
              <w:t>Проект, входящий в Нацпроекты</w:t>
            </w:r>
            <w:r>
              <w:rPr>
                <w:rFonts w:ascii="Times New Roman" w:hAnsi="Times New Roman"/>
                <w:color w:val="000000"/>
                <w:sz w:val="20"/>
                <w:szCs w:val="20"/>
              </w:rPr>
              <w:br/>
              <w:t>«Цифровая образовательная среда»;</w:t>
            </w:r>
            <w:r>
              <w:rPr>
                <w:rFonts w:ascii="Times New Roman" w:hAnsi="Times New Roman"/>
                <w:color w:val="000000"/>
                <w:sz w:val="20"/>
                <w:szCs w:val="20"/>
              </w:rPr>
              <w:br/>
              <w:t xml:space="preserve">Региональный проект </w:t>
            </w:r>
            <w:r>
              <w:rPr>
                <w:rFonts w:ascii="Times New Roman" w:hAnsi="Times New Roman"/>
                <w:color w:val="000000"/>
                <w:sz w:val="20"/>
                <w:szCs w:val="20"/>
              </w:rPr>
              <w:br/>
              <w:t>«Модернизация школьной системы образования Ивановской области»;</w:t>
            </w:r>
            <w:r>
              <w:rPr>
                <w:rFonts w:ascii="Times New Roman" w:hAnsi="Times New Roman"/>
                <w:color w:val="000000"/>
                <w:sz w:val="20"/>
                <w:szCs w:val="20"/>
              </w:rPr>
              <w:br/>
            </w:r>
          </w:p>
        </w:tc>
        <w:tc>
          <w:tcPr>
            <w:tcW w:w="317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rsidP="00764262">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Ведомственный проект </w:t>
            </w:r>
            <w:r>
              <w:rPr>
                <w:rFonts w:ascii="Times New Roman" w:hAnsi="Times New Roman"/>
                <w:color w:val="000000"/>
                <w:sz w:val="20"/>
                <w:szCs w:val="20"/>
              </w:rPr>
              <w:br/>
              <w:t>«Развитие общего, профессионального и дополнительного образования»;</w:t>
            </w:r>
            <w:r>
              <w:rPr>
                <w:rFonts w:ascii="Times New Roman" w:hAnsi="Times New Roman"/>
                <w:color w:val="000000"/>
                <w:sz w:val="20"/>
                <w:szCs w:val="20"/>
              </w:rPr>
              <w:br/>
              <w:t>Проект, входящий в Нацпроекты</w:t>
            </w:r>
            <w:r>
              <w:rPr>
                <w:rFonts w:ascii="Times New Roman" w:hAnsi="Times New Roman"/>
                <w:color w:val="000000"/>
                <w:sz w:val="20"/>
                <w:szCs w:val="20"/>
              </w:rPr>
              <w:br/>
              <w:t>«Патриотическое воспитание граждан Российской Федерации»;</w:t>
            </w:r>
            <w:r>
              <w:rPr>
                <w:rFonts w:ascii="Times New Roman" w:hAnsi="Times New Roman"/>
                <w:color w:val="000000"/>
                <w:sz w:val="20"/>
                <w:szCs w:val="20"/>
              </w:rPr>
              <w:br/>
              <w:t>Проект, входящий в Нацпроекты</w:t>
            </w:r>
            <w:r>
              <w:rPr>
                <w:rFonts w:ascii="Times New Roman" w:hAnsi="Times New Roman"/>
                <w:color w:val="000000"/>
                <w:sz w:val="20"/>
                <w:szCs w:val="20"/>
              </w:rPr>
              <w:br/>
              <w:t>«Развитие системы поддержки молодежи («Молодежь России»)»;</w:t>
            </w:r>
            <w:r>
              <w:rPr>
                <w:rFonts w:ascii="Times New Roman" w:hAnsi="Times New Roman"/>
                <w:color w:val="000000"/>
                <w:sz w:val="20"/>
                <w:szCs w:val="20"/>
              </w:rPr>
              <w:br/>
              <w:t>Проект, входящий в Нацпроекты</w:t>
            </w:r>
            <w:r>
              <w:rPr>
                <w:rFonts w:ascii="Times New Roman" w:hAnsi="Times New Roman"/>
                <w:color w:val="000000"/>
                <w:sz w:val="20"/>
                <w:szCs w:val="20"/>
              </w:rPr>
              <w:br/>
              <w:t>«Современная школа»;</w:t>
            </w:r>
            <w:r>
              <w:rPr>
                <w:rFonts w:ascii="Times New Roman" w:hAnsi="Times New Roman"/>
                <w:color w:val="000000"/>
                <w:sz w:val="20"/>
                <w:szCs w:val="20"/>
              </w:rPr>
              <w:br/>
              <w:t>Проект, входящий в Нацпроекты</w:t>
            </w:r>
            <w:r>
              <w:rPr>
                <w:rFonts w:ascii="Times New Roman" w:hAnsi="Times New Roman"/>
                <w:color w:val="000000"/>
                <w:sz w:val="20"/>
                <w:szCs w:val="20"/>
              </w:rPr>
              <w:br/>
              <w:t>«Социальная активность»;</w:t>
            </w:r>
            <w:r>
              <w:rPr>
                <w:rFonts w:ascii="Times New Roman" w:hAnsi="Times New Roman"/>
                <w:color w:val="000000"/>
                <w:sz w:val="20"/>
                <w:szCs w:val="20"/>
              </w:rPr>
              <w:br/>
              <w:t>Проект, входящий в Нацпроекты</w:t>
            </w:r>
            <w:r>
              <w:rPr>
                <w:rFonts w:ascii="Times New Roman" w:hAnsi="Times New Roman"/>
                <w:color w:val="000000"/>
                <w:sz w:val="20"/>
                <w:szCs w:val="20"/>
              </w:rPr>
              <w:br/>
              <w:t>«Успех каждого ребенка»;</w:t>
            </w:r>
            <w:r>
              <w:rPr>
                <w:rFonts w:ascii="Times New Roman" w:hAnsi="Times New Roman"/>
                <w:color w:val="000000"/>
                <w:sz w:val="20"/>
                <w:szCs w:val="20"/>
              </w:rPr>
              <w:br/>
              <w:t>Проект, входящий в Нацпроекты</w:t>
            </w:r>
            <w:r>
              <w:rPr>
                <w:rFonts w:ascii="Times New Roman" w:hAnsi="Times New Roman"/>
                <w:color w:val="000000"/>
                <w:sz w:val="20"/>
                <w:szCs w:val="20"/>
              </w:rPr>
              <w:br/>
              <w:t>«Цифровая образовательная среда»;</w:t>
            </w:r>
            <w:r>
              <w:rPr>
                <w:rFonts w:ascii="Times New Roman" w:hAnsi="Times New Roman"/>
                <w:color w:val="000000"/>
                <w:sz w:val="20"/>
                <w:szCs w:val="20"/>
              </w:rPr>
              <w:br/>
              <w:t xml:space="preserve">Региональный проект </w:t>
            </w:r>
            <w:r>
              <w:rPr>
                <w:rFonts w:ascii="Times New Roman" w:hAnsi="Times New Roman"/>
                <w:color w:val="000000"/>
                <w:sz w:val="20"/>
                <w:szCs w:val="20"/>
              </w:rPr>
              <w:br/>
              <w:t>«Модернизация школьной системы образования Ивановской области»;</w:t>
            </w:r>
            <w:r>
              <w:rPr>
                <w:rFonts w:ascii="Times New Roman" w:hAnsi="Times New Roman"/>
                <w:color w:val="000000"/>
                <w:sz w:val="20"/>
                <w:szCs w:val="20"/>
              </w:rPr>
              <w:br/>
            </w:r>
          </w:p>
        </w:tc>
      </w:tr>
      <w:tr w:rsidR="00954F63" w:rsidTr="00954F63">
        <w:tblPrEx>
          <w:jc w:val="left"/>
          <w:tblCellMar>
            <w:top w:w="0" w:type="dxa"/>
            <w:bottom w:w="0" w:type="dxa"/>
          </w:tblCellMar>
        </w:tblPrEx>
        <w:trPr>
          <w:trHeight w:val="602"/>
        </w:trPr>
        <w:tc>
          <w:tcPr>
            <w:tcW w:w="16101" w:type="dxa"/>
            <w:gridSpan w:val="26"/>
            <w:tcBorders>
              <w:top w:val="nil"/>
              <w:left w:val="nil"/>
              <w:bottom w:val="nil"/>
              <w:right w:val="nil"/>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Times New Roman" w:hAnsi="Times New Roman"/>
                <w:color w:val="000000"/>
                <w:sz w:val="18"/>
                <w:szCs w:val="18"/>
                <w:lang w:val="en-US"/>
              </w:rPr>
            </w:pPr>
          </w:p>
          <w:p w:rsidR="00954F63" w:rsidRDefault="00954F63" w:rsidP="00AF71DA">
            <w:pPr>
              <w:widowControl w:val="0"/>
              <w:autoSpaceDE w:val="0"/>
              <w:autoSpaceDN w:val="0"/>
              <w:adjustRightInd w:val="0"/>
              <w:spacing w:after="0" w:line="240" w:lineRule="auto"/>
              <w:jc w:val="center"/>
              <w:rPr>
                <w:rFonts w:ascii="Times New Roman" w:hAnsi="Times New Roman"/>
                <w:color w:val="000000"/>
                <w:sz w:val="18"/>
                <w:szCs w:val="18"/>
                <w:lang w:val="en-US"/>
              </w:rPr>
            </w:pPr>
          </w:p>
          <w:p w:rsidR="00954F63" w:rsidRDefault="00954F63" w:rsidP="00AF71DA">
            <w:pPr>
              <w:widowControl w:val="0"/>
              <w:autoSpaceDE w:val="0"/>
              <w:autoSpaceDN w:val="0"/>
              <w:adjustRightInd w:val="0"/>
              <w:spacing w:after="0" w:line="240" w:lineRule="auto"/>
              <w:jc w:val="center"/>
              <w:rPr>
                <w:rFonts w:ascii="Times New Roman" w:hAnsi="Times New Roman"/>
                <w:color w:val="000000"/>
                <w:sz w:val="18"/>
                <w:szCs w:val="18"/>
                <w:lang w:val="en-US"/>
              </w:rPr>
            </w:pPr>
          </w:p>
          <w:p w:rsidR="00954F63" w:rsidRDefault="00954F63" w:rsidP="00AF71DA">
            <w:pPr>
              <w:widowControl w:val="0"/>
              <w:autoSpaceDE w:val="0"/>
              <w:autoSpaceDN w:val="0"/>
              <w:adjustRightInd w:val="0"/>
              <w:spacing w:after="0" w:line="240" w:lineRule="auto"/>
              <w:jc w:val="center"/>
              <w:rPr>
                <w:rFonts w:ascii="Times New Roman" w:hAnsi="Times New Roman"/>
                <w:color w:val="000000"/>
                <w:sz w:val="18"/>
                <w:szCs w:val="18"/>
                <w:lang w:val="en-US"/>
              </w:rPr>
            </w:pPr>
          </w:p>
          <w:p w:rsidR="00954F63" w:rsidRDefault="00954F63" w:rsidP="00AF71DA">
            <w:pPr>
              <w:widowControl w:val="0"/>
              <w:autoSpaceDE w:val="0"/>
              <w:autoSpaceDN w:val="0"/>
              <w:adjustRightInd w:val="0"/>
              <w:spacing w:after="0" w:line="240" w:lineRule="auto"/>
              <w:jc w:val="center"/>
              <w:rPr>
                <w:rFonts w:ascii="Times New Roman" w:hAnsi="Times New Roman"/>
                <w:color w:val="000000"/>
                <w:sz w:val="18"/>
                <w:szCs w:val="18"/>
                <w:lang w:val="en-US"/>
              </w:rPr>
            </w:pPr>
          </w:p>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1. Сведения о достижении показателей</w:t>
            </w:r>
            <w:r>
              <w:rPr>
                <w:rFonts w:ascii="Times New Roman" w:hAnsi="Times New Roman"/>
                <w:color w:val="000000"/>
                <w:sz w:val="18"/>
                <w:szCs w:val="18"/>
              </w:rPr>
              <w:br/>
              <w:t>государственной программы (комплексной программы)</w:t>
            </w:r>
          </w:p>
        </w:tc>
      </w:tr>
      <w:tr w:rsidR="00954F63" w:rsidTr="00954F63">
        <w:tblPrEx>
          <w:jc w:val="left"/>
          <w:tblCellMar>
            <w:top w:w="0" w:type="dxa"/>
            <w:bottom w:w="0" w:type="dxa"/>
          </w:tblCellMar>
        </w:tblPrEx>
        <w:trPr>
          <w:trHeight w:val="787"/>
        </w:trPr>
        <w:tc>
          <w:tcPr>
            <w:tcW w:w="3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п/п</w:t>
            </w:r>
          </w:p>
        </w:tc>
        <w:tc>
          <w:tcPr>
            <w:tcW w:w="1062"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Статус</w:t>
            </w:r>
          </w:p>
        </w:tc>
        <w:tc>
          <w:tcPr>
            <w:tcW w:w="356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Наименование показателя </w:t>
            </w:r>
          </w:p>
        </w:tc>
        <w:tc>
          <w:tcPr>
            <w:tcW w:w="10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Единица измерения (по ОКЕИ)</w:t>
            </w:r>
          </w:p>
        </w:tc>
        <w:tc>
          <w:tcPr>
            <w:tcW w:w="13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Базовое значение</w:t>
            </w:r>
          </w:p>
        </w:tc>
        <w:tc>
          <w:tcPr>
            <w:tcW w:w="1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Плановое значение на конец отчетного периода</w:t>
            </w:r>
            <w:r>
              <w:rPr>
                <w:rFonts w:ascii="Times New Roman" w:hAnsi="Times New Roman"/>
                <w:color w:val="000000"/>
                <w:sz w:val="18"/>
                <w:szCs w:val="18"/>
              </w:rPr>
              <w:br/>
            </w:r>
          </w:p>
        </w:tc>
        <w:tc>
          <w:tcPr>
            <w:tcW w:w="18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Фактическое/прогнозное значение на конец отчетного периода</w:t>
            </w:r>
          </w:p>
        </w:tc>
        <w:tc>
          <w:tcPr>
            <w:tcW w:w="11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Индикатор (фактическое/ прогнозное)</w:t>
            </w:r>
          </w:p>
        </w:tc>
        <w:tc>
          <w:tcPr>
            <w:tcW w:w="16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Подтверждающий документ</w:t>
            </w:r>
          </w:p>
        </w:tc>
        <w:tc>
          <w:tcPr>
            <w:tcW w:w="22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Комментарий </w:t>
            </w:r>
          </w:p>
        </w:tc>
      </w:tr>
      <w:tr w:rsidR="00954F63" w:rsidTr="00954F63">
        <w:tblPrEx>
          <w:jc w:val="left"/>
          <w:tblCellMar>
            <w:top w:w="0" w:type="dxa"/>
            <w:bottom w:w="0" w:type="dxa"/>
          </w:tblCellMar>
        </w:tblPrEx>
        <w:trPr>
          <w:trHeight w:val="211"/>
        </w:trPr>
        <w:tc>
          <w:tcPr>
            <w:tcW w:w="3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1062"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356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w:t>
            </w:r>
          </w:p>
        </w:tc>
        <w:tc>
          <w:tcPr>
            <w:tcW w:w="10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w:t>
            </w:r>
          </w:p>
        </w:tc>
        <w:tc>
          <w:tcPr>
            <w:tcW w:w="13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w:t>
            </w:r>
          </w:p>
        </w:tc>
        <w:tc>
          <w:tcPr>
            <w:tcW w:w="1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w:t>
            </w:r>
          </w:p>
        </w:tc>
        <w:tc>
          <w:tcPr>
            <w:tcW w:w="18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w:t>
            </w:r>
          </w:p>
        </w:tc>
        <w:tc>
          <w:tcPr>
            <w:tcW w:w="11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w:t>
            </w:r>
          </w:p>
        </w:tc>
        <w:tc>
          <w:tcPr>
            <w:tcW w:w="16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11</w:t>
            </w:r>
          </w:p>
        </w:tc>
        <w:tc>
          <w:tcPr>
            <w:tcW w:w="22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12</w:t>
            </w:r>
          </w:p>
        </w:tc>
      </w:tr>
      <w:tr w:rsidR="00954F63" w:rsidTr="00954F63">
        <w:tblPrEx>
          <w:jc w:val="left"/>
          <w:tblCellMar>
            <w:top w:w="0" w:type="dxa"/>
            <w:bottom w:w="0" w:type="dxa"/>
          </w:tblCellMar>
        </w:tblPrEx>
        <w:trPr>
          <w:trHeight w:val="369"/>
        </w:trPr>
        <w:tc>
          <w:tcPr>
            <w:tcW w:w="16101" w:type="dxa"/>
            <w:gridSpan w:val="2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Показатели государственной программы (комплексной программы)</w:t>
            </w:r>
          </w:p>
        </w:tc>
      </w:tr>
      <w:tr w:rsidR="00954F63" w:rsidTr="00954F63">
        <w:tblPrEx>
          <w:jc w:val="left"/>
          <w:tblCellMar>
            <w:top w:w="0" w:type="dxa"/>
            <w:bottom w:w="0" w:type="dxa"/>
          </w:tblCellMar>
        </w:tblPrEx>
        <w:trPr>
          <w:trHeight w:val="478"/>
        </w:trPr>
        <w:tc>
          <w:tcPr>
            <w:tcW w:w="3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23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558" w:type="dxa"/>
            <w:gridSpan w:val="2"/>
            <w:tcBorders>
              <w:top w:val="single" w:sz="8" w:space="0" w:color="000000"/>
              <w:left w:val="single" w:sz="8" w:space="0" w:color="000000"/>
              <w:bottom w:val="single" w:sz="8" w:space="0" w:color="000000"/>
              <w:right w:val="single" w:sz="8" w:space="0" w:color="000000"/>
            </w:tcBorders>
            <w:shd w:val="diagStripe" w:color="auto" w:fill="228B22"/>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356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Уровень образования</w:t>
            </w:r>
          </w:p>
        </w:tc>
        <w:tc>
          <w:tcPr>
            <w:tcW w:w="10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3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70,45</w:t>
            </w:r>
          </w:p>
        </w:tc>
        <w:tc>
          <w:tcPr>
            <w:tcW w:w="1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71,79</w:t>
            </w:r>
          </w:p>
        </w:tc>
        <w:tc>
          <w:tcPr>
            <w:tcW w:w="18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71,79</w:t>
            </w:r>
          </w:p>
        </w:tc>
        <w:tc>
          <w:tcPr>
            <w:tcW w:w="11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Прогноз</w:t>
            </w:r>
          </w:p>
        </w:tc>
        <w:tc>
          <w:tcPr>
            <w:tcW w:w="16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 </w:t>
            </w:r>
            <w:r>
              <w:rPr>
                <w:rFonts w:ascii="Times New Roman" w:hAnsi="Times New Roman"/>
                <w:color w:val="000000"/>
                <w:sz w:val="20"/>
                <w:szCs w:val="20"/>
              </w:rPr>
              <w:br/>
              <w:t xml:space="preserve"> </w:t>
            </w:r>
            <w:r>
              <w:rPr>
                <w:rFonts w:ascii="Times New Roman" w:hAnsi="Times New Roman"/>
                <w:color w:val="000000"/>
                <w:sz w:val="20"/>
                <w:szCs w:val="20"/>
              </w:rPr>
              <w:br/>
            </w:r>
          </w:p>
        </w:tc>
        <w:tc>
          <w:tcPr>
            <w:tcW w:w="22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Данные за 2024 год будут представлены в апреле 2025 года</w:t>
            </w:r>
          </w:p>
        </w:tc>
      </w:tr>
      <w:tr w:rsidR="00954F63" w:rsidTr="00954F63">
        <w:tblPrEx>
          <w:jc w:val="left"/>
          <w:tblCellMar>
            <w:top w:w="0" w:type="dxa"/>
            <w:bottom w:w="0" w:type="dxa"/>
          </w:tblCellMar>
        </w:tblPrEx>
        <w:trPr>
          <w:trHeight w:val="478"/>
        </w:trPr>
        <w:tc>
          <w:tcPr>
            <w:tcW w:w="3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23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558" w:type="dxa"/>
            <w:gridSpan w:val="2"/>
            <w:tcBorders>
              <w:top w:val="single" w:sz="8" w:space="0" w:color="000000"/>
              <w:left w:val="single" w:sz="8" w:space="0" w:color="000000"/>
              <w:bottom w:val="single" w:sz="8" w:space="0" w:color="000000"/>
              <w:right w:val="single" w:sz="8" w:space="0" w:color="000000"/>
            </w:tcBorders>
            <w:shd w:val="diagStripe" w:color="auto" w:fill="228B22"/>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356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Эффективность системы выявления, поддержки и развития способностей и талантов у детей и молодежи</w:t>
            </w:r>
          </w:p>
        </w:tc>
        <w:tc>
          <w:tcPr>
            <w:tcW w:w="10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3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27,56</w:t>
            </w:r>
          </w:p>
        </w:tc>
        <w:tc>
          <w:tcPr>
            <w:tcW w:w="1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29,26</w:t>
            </w:r>
          </w:p>
        </w:tc>
        <w:tc>
          <w:tcPr>
            <w:tcW w:w="18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0,00</w:t>
            </w:r>
          </w:p>
        </w:tc>
        <w:tc>
          <w:tcPr>
            <w:tcW w:w="11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Прогноз</w:t>
            </w:r>
          </w:p>
        </w:tc>
        <w:tc>
          <w:tcPr>
            <w:tcW w:w="16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 </w:t>
            </w:r>
            <w:r>
              <w:rPr>
                <w:rFonts w:ascii="Times New Roman" w:hAnsi="Times New Roman"/>
                <w:color w:val="000000"/>
                <w:sz w:val="20"/>
                <w:szCs w:val="20"/>
              </w:rPr>
              <w:br/>
              <w:t xml:space="preserve"> </w:t>
            </w:r>
            <w:r>
              <w:rPr>
                <w:rFonts w:ascii="Times New Roman" w:hAnsi="Times New Roman"/>
                <w:color w:val="000000"/>
                <w:sz w:val="20"/>
                <w:szCs w:val="20"/>
              </w:rPr>
              <w:br/>
            </w:r>
          </w:p>
        </w:tc>
        <w:tc>
          <w:tcPr>
            <w:tcW w:w="22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Данные за 2024 год будут представлены в апреле 2025 года</w:t>
            </w:r>
          </w:p>
        </w:tc>
      </w:tr>
      <w:tr w:rsidR="00954F63" w:rsidTr="00954F63">
        <w:tblPrEx>
          <w:jc w:val="left"/>
          <w:tblCellMar>
            <w:top w:w="0" w:type="dxa"/>
            <w:bottom w:w="0" w:type="dxa"/>
          </w:tblCellMar>
        </w:tblPrEx>
        <w:trPr>
          <w:trHeight w:val="478"/>
        </w:trPr>
        <w:tc>
          <w:tcPr>
            <w:tcW w:w="3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23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558" w:type="dxa"/>
            <w:gridSpan w:val="2"/>
            <w:tcBorders>
              <w:top w:val="single" w:sz="8" w:space="0" w:color="000000"/>
              <w:left w:val="single" w:sz="8" w:space="0" w:color="000000"/>
              <w:bottom w:val="single" w:sz="8" w:space="0" w:color="000000"/>
              <w:right w:val="single" w:sz="8" w:space="0" w:color="000000"/>
            </w:tcBorders>
            <w:shd w:val="clear" w:color="auto" w:fill="228B22"/>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356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0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3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7,30</w:t>
            </w:r>
          </w:p>
        </w:tc>
        <w:tc>
          <w:tcPr>
            <w:tcW w:w="1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8,50</w:t>
            </w:r>
          </w:p>
        </w:tc>
        <w:tc>
          <w:tcPr>
            <w:tcW w:w="18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7,60</w:t>
            </w:r>
          </w:p>
        </w:tc>
        <w:tc>
          <w:tcPr>
            <w:tcW w:w="11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Факт</w:t>
            </w:r>
          </w:p>
        </w:tc>
        <w:tc>
          <w:tcPr>
            <w:tcW w:w="16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 </w:t>
            </w:r>
            <w:r>
              <w:rPr>
                <w:rFonts w:ascii="Times New Roman" w:hAnsi="Times New Roman"/>
                <w:color w:val="000000"/>
                <w:sz w:val="20"/>
                <w:szCs w:val="20"/>
              </w:rPr>
              <w:br/>
              <w:t xml:space="preserve"> </w:t>
            </w:r>
            <w:r>
              <w:rPr>
                <w:rFonts w:ascii="Times New Roman" w:hAnsi="Times New Roman"/>
                <w:color w:val="000000"/>
                <w:sz w:val="20"/>
                <w:szCs w:val="20"/>
              </w:rPr>
              <w:br/>
            </w:r>
          </w:p>
        </w:tc>
        <w:tc>
          <w:tcPr>
            <w:tcW w:w="22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p>
        </w:tc>
      </w:tr>
      <w:tr w:rsidR="00954F63" w:rsidTr="00954F63">
        <w:tblPrEx>
          <w:jc w:val="left"/>
          <w:tblCellMar>
            <w:top w:w="0" w:type="dxa"/>
            <w:bottom w:w="0" w:type="dxa"/>
          </w:tblCellMar>
        </w:tblPrEx>
        <w:trPr>
          <w:trHeight w:val="478"/>
        </w:trPr>
        <w:tc>
          <w:tcPr>
            <w:tcW w:w="3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23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558" w:type="dxa"/>
            <w:gridSpan w:val="2"/>
            <w:tcBorders>
              <w:top w:val="single" w:sz="8" w:space="0" w:color="000000"/>
              <w:left w:val="single" w:sz="8" w:space="0" w:color="000000"/>
              <w:bottom w:val="single" w:sz="8" w:space="0" w:color="000000"/>
              <w:right w:val="single" w:sz="8" w:space="0" w:color="000000"/>
            </w:tcBorders>
            <w:shd w:val="clear" w:color="auto" w:fill="228B22"/>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356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0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3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9,00</w:t>
            </w:r>
          </w:p>
        </w:tc>
        <w:tc>
          <w:tcPr>
            <w:tcW w:w="1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88,20</w:t>
            </w:r>
          </w:p>
        </w:tc>
        <w:tc>
          <w:tcPr>
            <w:tcW w:w="18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108,37</w:t>
            </w:r>
          </w:p>
        </w:tc>
        <w:tc>
          <w:tcPr>
            <w:tcW w:w="11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Факт</w:t>
            </w:r>
          </w:p>
        </w:tc>
        <w:tc>
          <w:tcPr>
            <w:tcW w:w="16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 </w:t>
            </w:r>
            <w:r>
              <w:rPr>
                <w:rFonts w:ascii="Times New Roman" w:hAnsi="Times New Roman"/>
                <w:color w:val="000000"/>
                <w:sz w:val="20"/>
                <w:szCs w:val="20"/>
              </w:rPr>
              <w:br/>
              <w:t xml:space="preserve"> </w:t>
            </w:r>
            <w:r>
              <w:rPr>
                <w:rFonts w:ascii="Times New Roman" w:hAnsi="Times New Roman"/>
                <w:color w:val="000000"/>
                <w:sz w:val="20"/>
                <w:szCs w:val="20"/>
              </w:rPr>
              <w:br/>
            </w:r>
          </w:p>
        </w:tc>
        <w:tc>
          <w:tcPr>
            <w:tcW w:w="22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p>
        </w:tc>
      </w:tr>
      <w:tr w:rsidR="00954F63" w:rsidTr="00954F63">
        <w:tblPrEx>
          <w:jc w:val="left"/>
          <w:tblCellMar>
            <w:top w:w="0" w:type="dxa"/>
            <w:bottom w:w="0" w:type="dxa"/>
          </w:tblCellMar>
        </w:tblPrEx>
        <w:trPr>
          <w:trHeight w:val="478"/>
        </w:trPr>
        <w:tc>
          <w:tcPr>
            <w:tcW w:w="3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c>
          <w:tcPr>
            <w:tcW w:w="23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558" w:type="dxa"/>
            <w:gridSpan w:val="2"/>
            <w:tcBorders>
              <w:top w:val="single" w:sz="8" w:space="0" w:color="000000"/>
              <w:left w:val="single" w:sz="8" w:space="0" w:color="000000"/>
              <w:bottom w:val="single" w:sz="8" w:space="0" w:color="000000"/>
              <w:right w:val="single" w:sz="8" w:space="0" w:color="000000"/>
            </w:tcBorders>
            <w:shd w:val="clear" w:color="auto" w:fill="228B22"/>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356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Доступность дошкольного образования для детей в возрасте от 3 до 7 лет</w:t>
            </w:r>
          </w:p>
        </w:tc>
        <w:tc>
          <w:tcPr>
            <w:tcW w:w="10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3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100,00</w:t>
            </w:r>
          </w:p>
        </w:tc>
        <w:tc>
          <w:tcPr>
            <w:tcW w:w="1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100,00</w:t>
            </w:r>
          </w:p>
        </w:tc>
        <w:tc>
          <w:tcPr>
            <w:tcW w:w="18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100,00</w:t>
            </w:r>
          </w:p>
        </w:tc>
        <w:tc>
          <w:tcPr>
            <w:tcW w:w="11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Факт</w:t>
            </w:r>
          </w:p>
        </w:tc>
        <w:tc>
          <w:tcPr>
            <w:tcW w:w="16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 </w:t>
            </w:r>
            <w:r>
              <w:rPr>
                <w:rFonts w:ascii="Times New Roman" w:hAnsi="Times New Roman"/>
                <w:color w:val="000000"/>
                <w:sz w:val="20"/>
                <w:szCs w:val="20"/>
              </w:rPr>
              <w:br/>
              <w:t xml:space="preserve"> </w:t>
            </w:r>
            <w:r>
              <w:rPr>
                <w:rFonts w:ascii="Times New Roman" w:hAnsi="Times New Roman"/>
                <w:color w:val="000000"/>
                <w:sz w:val="20"/>
                <w:szCs w:val="20"/>
              </w:rPr>
              <w:br/>
            </w:r>
          </w:p>
        </w:tc>
        <w:tc>
          <w:tcPr>
            <w:tcW w:w="22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p>
        </w:tc>
      </w:tr>
      <w:tr w:rsidR="00954F63" w:rsidTr="00954F63">
        <w:tblPrEx>
          <w:jc w:val="left"/>
          <w:tblCellMar>
            <w:top w:w="0" w:type="dxa"/>
            <w:bottom w:w="0" w:type="dxa"/>
          </w:tblCellMar>
        </w:tblPrEx>
        <w:trPr>
          <w:trHeight w:val="478"/>
        </w:trPr>
        <w:tc>
          <w:tcPr>
            <w:tcW w:w="3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w:t>
            </w:r>
          </w:p>
        </w:tc>
        <w:tc>
          <w:tcPr>
            <w:tcW w:w="23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558" w:type="dxa"/>
            <w:gridSpan w:val="2"/>
            <w:tcBorders>
              <w:top w:val="single" w:sz="8" w:space="0" w:color="000000"/>
              <w:left w:val="single" w:sz="8" w:space="0" w:color="000000"/>
              <w:bottom w:val="single" w:sz="8" w:space="0" w:color="000000"/>
              <w:right w:val="single" w:sz="8" w:space="0" w:color="000000"/>
            </w:tcBorders>
            <w:shd w:val="clear" w:color="auto" w:fill="228B22"/>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p>
        </w:tc>
        <w:tc>
          <w:tcPr>
            <w:tcW w:w="356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tc>
        <w:tc>
          <w:tcPr>
            <w:tcW w:w="10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Процент</w:t>
            </w:r>
          </w:p>
        </w:tc>
        <w:tc>
          <w:tcPr>
            <w:tcW w:w="13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62,30</w:t>
            </w:r>
          </w:p>
        </w:tc>
        <w:tc>
          <w:tcPr>
            <w:tcW w:w="196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62,70</w:t>
            </w:r>
          </w:p>
        </w:tc>
        <w:tc>
          <w:tcPr>
            <w:tcW w:w="183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97,63</w:t>
            </w:r>
          </w:p>
        </w:tc>
        <w:tc>
          <w:tcPr>
            <w:tcW w:w="11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Факт</w:t>
            </w:r>
          </w:p>
        </w:tc>
        <w:tc>
          <w:tcPr>
            <w:tcW w:w="161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 </w:t>
            </w:r>
            <w:r>
              <w:rPr>
                <w:rFonts w:ascii="Times New Roman" w:hAnsi="Times New Roman"/>
                <w:color w:val="000000"/>
                <w:sz w:val="20"/>
                <w:szCs w:val="20"/>
              </w:rPr>
              <w:br/>
              <w:t xml:space="preserve"> </w:t>
            </w:r>
            <w:r>
              <w:rPr>
                <w:rFonts w:ascii="Times New Roman" w:hAnsi="Times New Roman"/>
                <w:color w:val="000000"/>
                <w:sz w:val="20"/>
                <w:szCs w:val="20"/>
              </w:rPr>
              <w:br/>
            </w:r>
          </w:p>
        </w:tc>
        <w:tc>
          <w:tcPr>
            <w:tcW w:w="22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4F63" w:rsidRDefault="00954F63" w:rsidP="00AF71DA">
            <w:pPr>
              <w:widowControl w:val="0"/>
              <w:autoSpaceDE w:val="0"/>
              <w:autoSpaceDN w:val="0"/>
              <w:adjustRightInd w:val="0"/>
              <w:spacing w:after="0" w:line="240" w:lineRule="auto"/>
              <w:rPr>
                <w:rFonts w:ascii="Arial" w:hAnsi="Arial" w:cs="Arial"/>
                <w:sz w:val="2"/>
                <w:szCs w:val="2"/>
              </w:rPr>
            </w:pPr>
          </w:p>
        </w:tc>
      </w:tr>
    </w:tbl>
    <w:p w:rsidR="00764262" w:rsidRPr="00954F63" w:rsidRDefault="00F76C43">
      <w:pPr>
        <w:widowControl w:val="0"/>
        <w:autoSpaceDE w:val="0"/>
        <w:autoSpaceDN w:val="0"/>
        <w:adjustRightInd w:val="0"/>
        <w:spacing w:after="0" w:line="240" w:lineRule="auto"/>
        <w:rPr>
          <w:rFonts w:ascii="Arial" w:hAnsi="Arial" w:cs="Arial"/>
          <w:sz w:val="10"/>
          <w:szCs w:val="10"/>
        </w:rPr>
      </w:pPr>
      <w:r>
        <w:rPr>
          <w:rFonts w:ascii="Arial" w:hAnsi="Arial" w:cs="Arial"/>
          <w:sz w:val="10"/>
          <w:szCs w:val="10"/>
        </w:rPr>
        <w:br/>
      </w:r>
      <w:r>
        <w:rPr>
          <w:rFonts w:ascii="Arial" w:hAnsi="Arial" w:cs="Arial"/>
          <w:sz w:val="10"/>
          <w:szCs w:val="10"/>
        </w:rPr>
        <w:br/>
      </w:r>
    </w:p>
    <w:p w:rsidR="00F76C43" w:rsidRPr="00954F63" w:rsidRDefault="00F76C43">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r>
        <w:rPr>
          <w:rFonts w:ascii="Arial" w:hAnsi="Arial" w:cs="Arial"/>
          <w:sz w:val="10"/>
          <w:szCs w:val="10"/>
        </w:rPr>
        <w:br/>
      </w:r>
      <w:r>
        <w:rPr>
          <w:rFonts w:ascii="Arial" w:hAnsi="Arial" w:cs="Arial"/>
          <w:sz w:val="10"/>
          <w:szCs w:val="10"/>
        </w:rPr>
        <w:br/>
      </w:r>
      <w:r>
        <w:rPr>
          <w:rFonts w:ascii="Arial" w:hAnsi="Arial" w:cs="Arial"/>
          <w:sz w:val="10"/>
          <w:szCs w:val="10"/>
        </w:rPr>
        <w:br/>
      </w:r>
    </w:p>
    <w:p w:rsidR="00954F63" w:rsidRPr="00954F63" w:rsidRDefault="00954F63">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416"/>
        <w:gridCol w:w="3925"/>
        <w:gridCol w:w="1524"/>
        <w:gridCol w:w="1524"/>
        <w:gridCol w:w="1524"/>
        <w:gridCol w:w="1524"/>
        <w:gridCol w:w="1524"/>
        <w:gridCol w:w="1524"/>
        <w:gridCol w:w="2281"/>
      </w:tblGrid>
      <w:tr w:rsidR="00F76C43" w:rsidTr="00F76C43">
        <w:tblPrEx>
          <w:tblCellMar>
            <w:top w:w="0" w:type="dxa"/>
            <w:bottom w:w="0" w:type="dxa"/>
          </w:tblCellMar>
        </w:tblPrEx>
        <w:trPr>
          <w:trHeight w:val="568"/>
        </w:trPr>
        <w:tc>
          <w:tcPr>
            <w:tcW w:w="15766" w:type="dxa"/>
            <w:gridSpan w:val="9"/>
            <w:tcBorders>
              <w:top w:val="nil"/>
              <w:left w:val="nil"/>
              <w:bottom w:val="nil"/>
              <w:right w:val="nil"/>
            </w:tcBorders>
            <w:tcMar>
              <w:top w:w="0" w:type="dxa"/>
              <w:left w:w="0" w:type="dxa"/>
              <w:bottom w:w="0" w:type="dxa"/>
              <w:right w:w="0" w:type="dxa"/>
            </w:tcMar>
            <w:vAlign w:val="center"/>
          </w:tcPr>
          <w:p w:rsidR="00954F63" w:rsidRDefault="00954F63">
            <w:pPr>
              <w:widowControl w:val="0"/>
              <w:autoSpaceDE w:val="0"/>
              <w:autoSpaceDN w:val="0"/>
              <w:adjustRightInd w:val="0"/>
              <w:spacing w:after="0" w:line="240" w:lineRule="auto"/>
              <w:jc w:val="center"/>
              <w:rPr>
                <w:rFonts w:ascii="Times New Roman" w:hAnsi="Times New Roman"/>
                <w:color w:val="000000"/>
                <w:sz w:val="18"/>
                <w:szCs w:val="18"/>
                <w:lang w:val="en-US"/>
              </w:rPr>
            </w:pPr>
          </w:p>
          <w:p w:rsidR="00954F63" w:rsidRDefault="00954F63">
            <w:pPr>
              <w:widowControl w:val="0"/>
              <w:autoSpaceDE w:val="0"/>
              <w:autoSpaceDN w:val="0"/>
              <w:adjustRightInd w:val="0"/>
              <w:spacing w:after="0" w:line="240" w:lineRule="auto"/>
              <w:jc w:val="center"/>
              <w:rPr>
                <w:rFonts w:ascii="Times New Roman" w:hAnsi="Times New Roman"/>
                <w:color w:val="000000"/>
                <w:sz w:val="18"/>
                <w:szCs w:val="18"/>
                <w:lang w:val="en-US"/>
              </w:rPr>
            </w:pPr>
          </w:p>
          <w:p w:rsidR="00954F63" w:rsidRDefault="00954F63">
            <w:pPr>
              <w:widowControl w:val="0"/>
              <w:autoSpaceDE w:val="0"/>
              <w:autoSpaceDN w:val="0"/>
              <w:adjustRightInd w:val="0"/>
              <w:spacing w:after="0" w:line="240" w:lineRule="auto"/>
              <w:jc w:val="center"/>
              <w:rPr>
                <w:rFonts w:ascii="Times New Roman" w:hAnsi="Times New Roman"/>
                <w:color w:val="000000"/>
                <w:sz w:val="18"/>
                <w:szCs w:val="18"/>
                <w:lang w:val="en-US"/>
              </w:rPr>
            </w:pPr>
          </w:p>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2. Сведения об исполнении бюджетных ассигнований, предусмотренных на финансовое</w:t>
            </w:r>
            <w:r>
              <w:rPr>
                <w:rFonts w:ascii="Times New Roman" w:hAnsi="Times New Roman"/>
                <w:color w:val="000000"/>
                <w:sz w:val="18"/>
                <w:szCs w:val="18"/>
              </w:rPr>
              <w:br/>
              <w:t>обеспечение реализации государственной программы (комплексной программы)</w:t>
            </w:r>
          </w:p>
        </w:tc>
      </w:tr>
      <w:tr w:rsidR="00F76C43" w:rsidTr="00F76C43">
        <w:tblPrEx>
          <w:tblCellMar>
            <w:top w:w="0" w:type="dxa"/>
            <w:bottom w:w="0" w:type="dxa"/>
          </w:tblCellMar>
        </w:tblPrEx>
        <w:trPr>
          <w:trHeight w:val="857"/>
        </w:trPr>
        <w:tc>
          <w:tcPr>
            <w:tcW w:w="4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lastRenderedPageBreak/>
              <w:t>№ п/п</w:t>
            </w:r>
          </w:p>
        </w:tc>
        <w:tc>
          <w:tcPr>
            <w:tcW w:w="39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Наименование государственной программы (комплексной программы), структурного элемента и источника финансового обеспечения</w:t>
            </w:r>
          </w:p>
        </w:tc>
        <w:tc>
          <w:tcPr>
            <w:tcW w:w="457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Объем финансового обеспечения, рублей</w:t>
            </w:r>
          </w:p>
        </w:tc>
        <w:tc>
          <w:tcPr>
            <w:tcW w:w="304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Исполнение, рублей</w:t>
            </w:r>
          </w:p>
        </w:tc>
        <w:tc>
          <w:tcPr>
            <w:tcW w:w="152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Процент исполнения, (7) / (4) * 100 </w:t>
            </w:r>
          </w:p>
        </w:tc>
        <w:tc>
          <w:tcPr>
            <w:tcW w:w="228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 xml:space="preserve">Комментарий </w:t>
            </w:r>
          </w:p>
        </w:tc>
      </w:tr>
      <w:tr w:rsidR="00F76C43">
        <w:tblPrEx>
          <w:tblCellMar>
            <w:top w:w="0" w:type="dxa"/>
            <w:bottom w:w="0" w:type="dxa"/>
          </w:tblCellMar>
        </w:tblPrEx>
        <w:trPr>
          <w:trHeight w:val="719"/>
        </w:trPr>
        <w:tc>
          <w:tcPr>
            <w:tcW w:w="4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Предусмотрено паспортом</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Сводная бюджетная роспись</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Лимиты бюджетных обязательств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Принятые бюджетные обязательства</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Кассовое исполнение</w:t>
            </w:r>
          </w:p>
        </w:tc>
        <w:tc>
          <w:tcPr>
            <w:tcW w:w="152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c>
          <w:tcPr>
            <w:tcW w:w="228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211"/>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w:t>
            </w: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w:t>
            </w:r>
          </w:p>
        </w:tc>
      </w:tr>
      <w:tr w:rsidR="00F76C43">
        <w:tblPrEx>
          <w:tblCellMar>
            <w:top w:w="0" w:type="dxa"/>
            <w:bottom w:w="0" w:type="dxa"/>
          </w:tblCellMar>
        </w:tblPrEx>
        <w:trPr>
          <w:trHeight w:val="47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18"/>
                <w:szCs w:val="18"/>
              </w:rPr>
              <w:t>Государственная программа (комплексная программа) «Развитие образования и науки Ивановской области»,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12 772 687 168,18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12 505 978 353,92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12 505 978 353,92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10 497 547 711,46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8 298 418 822,69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66,36%</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1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12 772 687 168,18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12 505 978 353,92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12 505 978 353,92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10 497 547 711,46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8 298 418 822,69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66,36%</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10 510 563 937,94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10 335 290 543,31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10 335 290 543,31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9 346 664 786,36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7 377 889 980,18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71,39%</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6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2 262 123 230,24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2 170 687 810,61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2 170 687 810,61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1 150 882 925,10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920 528 842,51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42,41%</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6"/>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909"/>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1</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Структурный элемент «Патриотическое воспитание граждан Российской Федерации»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55 267 751,88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55 267 751,88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55 267 751,88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50 471 789,94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38 600 596,97</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69,84%</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55 267 751,88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55 267 751,88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55 267 751,88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50 471 789,94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38 600 596,97</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69,84%</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4 827 741,27</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4 827 741,27</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4 827 741,27</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4 408 805,05</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3 371 833,94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69,84%</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50 440 010,61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50 440 010,61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50 440 010,61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46 062 984,89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35 228 763,03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69,84%</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rsidP="007528BE">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r>
      <w:tr w:rsidR="00F76C43">
        <w:tblPrEx>
          <w:tblCellMar>
            <w:top w:w="0" w:type="dxa"/>
            <w:bottom w:w="0" w:type="dxa"/>
          </w:tblCellMar>
        </w:tblPrEx>
        <w:trPr>
          <w:trHeight w:val="584"/>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8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835"/>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1.1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55 267 751,88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55 267 751,88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55 267 751,88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50 471 789,94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38 600 596,97</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69,84%</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55 267 751,88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55 267 751,88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55 267 751,88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50 471 789,94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38 600 596,97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69,84%</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4 827 741,27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4 827 741,27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4 827 741,27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4 408 805,05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3 371 833,94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69,84%</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50 440 010,61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50 440 010,61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50 440 010,61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46 062 984,89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35 228 763,03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69,84%</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2</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Структурный элемент «Успех каждого ребенка»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28 500 911,70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28 500 911,70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28 500 911,70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28 500 911,70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23 100 785,06</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81,05%</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28 500 911,70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28 500 911,70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28 500 911,70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28 500 911,70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23 100 785,06</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81,05%</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406 152,07</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285 011,70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285 011,70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285 011,70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231 010,43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81,05%</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28 094 759,63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28 215 900,00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28 215 900,00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28 215 900,00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22 869 774,63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81,05%</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rsidP="007528BE">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r>
      <w:tr w:rsidR="00F76C43">
        <w:tblPrEx>
          <w:tblCellMar>
            <w:top w:w="0" w:type="dxa"/>
            <w:bottom w:w="0" w:type="dxa"/>
          </w:tblCellMar>
        </w:tblPrEx>
        <w:trPr>
          <w:trHeight w:val="584"/>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8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835"/>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2.1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«Созданы новые места в образовательных организациях различных типов для реализации дополнительных общеразвивающих программ всех направленностей»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3 778 386,40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3 778 386,40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3 778 386,40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3 778 386,40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3 778 177,42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99,99%</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3 778 386,40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3 778 386,40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3 778 386,40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3 778 386,40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3 778 177,42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99,99%</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37 786,40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37 786,40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37 786,40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37 786,40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37 784,31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99,99%</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3 740 600,00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3 740 600,00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3 740 600,00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3 740 600,00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3 740 393,11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99,99%</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2.2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 xml:space="preserve">Мероприятие (результат) «В общеобразовательных организациях обновлена материально-техническая база </w:t>
            </w:r>
            <w:r>
              <w:rPr>
                <w:rFonts w:ascii="Times New Roman" w:hAnsi="Times New Roman"/>
                <w:i/>
                <w:iCs/>
                <w:color w:val="000000"/>
                <w:sz w:val="20"/>
                <w:szCs w:val="20"/>
              </w:rPr>
              <w:lastRenderedPageBreak/>
              <w:t>для занятий детей физической культурой и спортом»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lastRenderedPageBreak/>
              <w:t>5 996 568,65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5 996 568,65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5 996 568,65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5 996 568,65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5 916 739,51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98,67%</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5 996 568,65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5 996 568,65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5 996 568,65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5 996 568,65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5 916 739,51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98,67%</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181 106,06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59 965,69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59 965,69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59 965,69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59 167,41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98,67%</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5 815 462,59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5 936 602,96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5 936 602,96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5 936 602,96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5 857 572,10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98,67%</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2.3</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«В общеобразовательных организациях обновлена материально-техническая база для занятий детей физической культурой и спортом»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18 725 956,65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18 725 956,65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18 725 956,65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18 725 956,65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13 405 868,13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71,59%</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18 725 956,65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18 725 956,65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18 725 956,65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18 725 956,65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13 405 868,13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71,59%</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187 259,61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187 259,61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187 259,61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187 259,61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134 058,71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71,59%</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18 538 697,04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18 538 697,04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18 538 697,04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18 538 697,04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13 271 809,42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71,59%</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3</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Структурный элемент «Оснащение прогулочных площадок образовательных организаций, реализующих программы дошкольного образования»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129 900 000,00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129 900 000,00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129 900 000,00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129 900 000,00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129 900 000,00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129 900 000,00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129 900 000,00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129 900 000,00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129 900 000,00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rsidP="007528BE">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r>
      <w:tr w:rsidR="00F76C43">
        <w:tblPrEx>
          <w:tblCellMar>
            <w:top w:w="0" w:type="dxa"/>
            <w:bottom w:w="0" w:type="dxa"/>
          </w:tblCellMar>
        </w:tblPrEx>
        <w:trPr>
          <w:trHeight w:val="584"/>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8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835"/>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3.1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«Оснащены прогулочные площадки муниципальных образовательных организаций, реализующих программы дошкольного образования»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129 900 000,00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129 900 000,00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129 900 000,00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129 900 000,00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129 900 000,00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129 900 000,00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129 900 000,00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129 900 000,00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129 900 000,00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4</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Структурный элемент «Развитие общего, профессионального и дополнительного образования»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11 850 150 013,60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11 592 041 199,34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11 592 041 199,34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9 827 132 450,05</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7 742 257 139,35</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66,79%</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11 850 150 013,60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11 592 041 199,34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11 592 041 199,34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9 827 132 450,05</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7 742 257 139,35</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66,79%</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9 841 677 253,60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9 675 124 999,34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9 675 124 999,34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8 903 539 920,57</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7 026 371 090,67</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72,62%</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2 008 472 760,00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1 916 916 200,00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1 916 916 200,00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923 592 529,48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715 886 048,68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72,62%</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rsidP="007528BE">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r>
      <w:tr w:rsidR="00F76C43">
        <w:tblPrEx>
          <w:tblCellMar>
            <w:top w:w="0" w:type="dxa"/>
            <w:bottom w:w="0" w:type="dxa"/>
          </w:tblCellMar>
        </w:tblPrEx>
        <w:trPr>
          <w:trHeight w:val="584"/>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8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835"/>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«Проведены мероприятия по укреплению материально-технической базы муниципальных образовательных организаций Ивановской области»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265 744 400,00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256 744 400,00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256 744 400,00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265 744 400,00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256 744 400,00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256 744 400,00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265 744 400,00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256 744 400,00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256 744 400,00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«Проведены мероприятия по укреплению материально-технической базы муниципальных образовательных организаций Ивановской области»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256 744 400,00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256 744 400,00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256 744 400,00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253 000 000,00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141 310 837,93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55,04%</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256 744 400,00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256 744 400,00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256 744 400,00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253 000 000,00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141 310 837,93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55,04%</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256 744 400,00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256 744 400,00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256 744 400,00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253 000 000,00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141 310 837,93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55,04%</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4.3</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 xml:space="preserve">Мероприятие (результат)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w:t>
            </w:r>
            <w:r>
              <w:rPr>
                <w:rFonts w:ascii="Times New Roman" w:hAnsi="Times New Roman"/>
                <w:i/>
                <w:iCs/>
                <w:color w:val="000000"/>
                <w:sz w:val="20"/>
                <w:szCs w:val="20"/>
              </w:rPr>
              <w:lastRenderedPageBreak/>
              <w:t>муниципальных образовательных организациях»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lastRenderedPageBreak/>
              <w:t>530 237 673,00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530 237 673,00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530 237 673,00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530 237 673,00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530 237 673,00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530 237 673,00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37 116 637,01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37 116 637,01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37 116 637,01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493 121 035,99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493 121 035,99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493 121 035,99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4.4</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530 237 673,00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530 237 673,00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530 237 673,00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530 237 673,00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327 685 178,22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61,8%</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530 237 673,00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530 237 673,00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530 237 673,00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530 237 673,00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327 685 178,22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61,8%</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37 116 637,01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37 116 637,01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37 116 637,01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37 116 637,01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22 937 962,47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61,8%</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493 121 035,99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493 121 035,99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493 121 035,99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493 121 035,99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304 747 215,75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61,8%</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4.5</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«Созданы безопасные условия пребывания в дошкольных образовательных организациях, дошкольных группах в муниципальных общеобразовательных организациях»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297 426 056,30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294 000 000,00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294 000 000,00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189 104 225,75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64,32%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297 426 056,30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294 000 000,00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294 000 000,00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189 104 225,75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64,32%</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297 426 056,30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294 000 000,00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294 000 000,00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189 104 225,75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64,32%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4.6</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«Проведен капитальный ремонт объектов общего образования»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220 682 212,60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93 475 105,79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93 475 105,79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54 240 402,21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58,03%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220 682 212,60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93 475 105,79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93 475 105,79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54 240 402,21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58,03%</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220 682 212,60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93 475 105,79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93 475 105,79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54 240 402,21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58,03%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4.7</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«Обеспечены государственные гарантии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4 320 115 307,00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4 320 115 307,00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4 320 115 307,00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4 317 009 611,00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3 244 530 887,26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75,1%</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4 320 115 307,00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4 320 115 307,00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4 320 115 307,00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4 317 009 611,00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3 244 530 887,26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75,1%</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4 320 115 307,00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4 320 115 307,00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4 320 115 307,00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4 317 009 611,00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3 244 530 887,26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75,1%</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lastRenderedPageBreak/>
              <w:t>4.8</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«Обеспечены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3 623 033 930,00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3 623 033 930,00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3 623 033 930,00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3 627 065 173,00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2 825 970 970,00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78%</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3 623 033 930,00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3 623 033 930,00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3 623 033 930,00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3 627 065 173,00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2 825 970 970,00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78%</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3 623 033 930,00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3 623 033 930,00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3 623 033 930,00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3 627 065 173,00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2 825 970 970,00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78%</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4.9</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«Созданы и функционируют «Ресурсные классы» для обучающихся с расстройством аутистического спектра»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5 562 154,94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5 562 154,94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5 562 154,94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5 562 154,94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4 171 616,19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5 562 154,94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5 562 154,94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5 562 154,94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5 562 154,94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4 171 616,19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75%</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5 562 154,94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5 562 154,94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5 562 154,94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5 562 154,94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4 171 616,19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4.10</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«Возмещены затраты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20 339 280,00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20 339 280,00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20 339 280,00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20 339 280,00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15 316 830,00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75,31%</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20 339 280,00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20 339 280,00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20 339 280,00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20 339 280,00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15 316 830,00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75,31%</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20 339 280,00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20 339 280,00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20 339 280,00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20 339 280,00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15 316 830,00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75,31%</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4.11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 xml:space="preserve">Мероприятие (результат) «Возмещены затраты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w:t>
            </w:r>
            <w:r>
              <w:rPr>
                <w:rFonts w:ascii="Times New Roman" w:hAnsi="Times New Roman"/>
                <w:i/>
                <w:iCs/>
                <w:color w:val="000000"/>
                <w:sz w:val="20"/>
                <w:szCs w:val="20"/>
              </w:rPr>
              <w:lastRenderedPageBreak/>
              <w:t>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lastRenderedPageBreak/>
              <w:t>47 631 568,25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47 631 568,25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47 631 568,25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47 631 568,25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32 051 003,33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67,29%</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47 631 568,25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47 631 568,25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47 631 568,25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47 631 568,25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32 051 003,33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67,29%</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47 631 568,25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47 631 568,25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47 631 568,25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47 631 568,25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32 051 003,33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67,29%</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4.12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 xml:space="preserve">Мероприятие (результат) «Предоставлено бесплатное горячее питание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w:t>
            </w:r>
            <w:r>
              <w:rPr>
                <w:rFonts w:ascii="Times New Roman" w:hAnsi="Times New Roman"/>
                <w:i/>
                <w:iCs/>
                <w:color w:val="000000"/>
                <w:sz w:val="20"/>
                <w:szCs w:val="20"/>
              </w:rPr>
              <w:lastRenderedPageBreak/>
              <w:t>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lastRenderedPageBreak/>
              <w:t>44 246 900,28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44 246 900,28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44 246 900,28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44 254 423,80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15 205 840,80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34,37%</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44 246 900,28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44 246 900,28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44 246 900,28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44 254 423,80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15 205 840,80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34,37%</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44 246 900,28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44 246 900,28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44 246 900,28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44 254 423,80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15 205 840,80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34,37%</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4.13</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 xml:space="preserve">Мероприятие (результат) «Проведено научно-методическое сопровождение мероприятий по формированию здоровьесберегающей среды в образовательных организациях Ивановской </w:t>
            </w:r>
            <w:r>
              <w:rPr>
                <w:rFonts w:ascii="Times New Roman" w:hAnsi="Times New Roman"/>
                <w:i/>
                <w:iCs/>
                <w:color w:val="000000"/>
                <w:sz w:val="20"/>
                <w:szCs w:val="20"/>
              </w:rPr>
              <w:lastRenderedPageBreak/>
              <w:t>области»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lastRenderedPageBreak/>
              <w:t>80 000,00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80 000,00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80 000,00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80 000,00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51 660,00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64,58%</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51 660,00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64,58%</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51 660,00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64,58%</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4.14</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«Разработаны учебно-методические пособия»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169 150,00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169 150,00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169 150,00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169 150,00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169 150,00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169 150,00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169 150,00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169 150,00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169 150,00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lastRenderedPageBreak/>
              <w:t>4.15</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«Организовано образование учащихся с применением дистанционных образовательных технологий»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962 797,75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962 797,75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962 797,75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962 797,75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696 853,06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72,38%</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962 797,75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962 797,75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962 797,75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962 797,75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696 853,06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72,38%</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962 797,75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962 797,75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962 797,75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962 797,75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696 853,06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72,38%</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4.16</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«Осуществлено информационное сопровождение мероприятий о системе общего образования»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23 641,00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23 641,00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4,73%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23 641,00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23 641,00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4,73%</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23 641,00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23 641,00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4,73%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4.17</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«Организована работа точек доступа к региональной информационной системе обеспечения единого государственного экзамена в защищенном исполнении»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1 844 506,66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1 844 506,66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1 844 506,66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1 844 506,66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710 986,66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38,55%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1 844 506,66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1 844 506,66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1 844 506,66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1 844 506,66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710 986,66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38,55%</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1 844 506,66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1 844 506,66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1 844 506,66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1 844 506,66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710 986,66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38,55%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4.18</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«Проведена подготовка специалистов, привлекаемых к проведению государственной итоговой аттестации в Ивановской области»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1 338 422,00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1 338 422,00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1 338 422,00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1 338 422,00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1 105 422,00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82,59%</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1 338 422,00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1 338 422,00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1 338 422,00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1 338 422,00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1 105 422,00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82,59%</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1 338 422,00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1 338 422,00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1 338 422,00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1 338 422,00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1 105 422,00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82,59%</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4.19</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«Проведена независимая оценка качества образовательной деятельности организаций, осуществляющих образовательную деятельность»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522 000,00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522 000,00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522 000,00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522 000,00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522 000,00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522 000,00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522 000,00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522 000,00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522 000,00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4.20</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«Обеспечено функционирование и модернизация единой телекоммуникационной сети, программного обеспечения и цифровой образовательной платформы Ивановской области»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3 088 700,00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3 088 700,00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3 088 700,00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2 580 947,10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1 550 427,10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50,2%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3 088 700,00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3 088 700,00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3 088 700,00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2 580 947,10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1 550 427,10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50,2%</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3 088 700,00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3 088 700,00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3 088 700,00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2 580 947,10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1 550 427,10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50,2%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4.21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«Проведены региональные и межрегиональные семинары, конференции, форумы, выставки по проблемам внедрения современной модели образования»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401 100,00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401 100,00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401 100,00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358 600,00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149 500,00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37,27%</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401 100,00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401 100,00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401 100,00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358 600,00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149 500,00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37,27%</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401 100,00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401 100,00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401 100,00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358 600,00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149 500,00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37,27%</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4.22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 xml:space="preserve">Мероприятие (результат) «Обеспечено проведение аттестации педагогических работников областных государственных, муниципальных и частных образовательных организаций, осуществляющих </w:t>
            </w:r>
            <w:r>
              <w:rPr>
                <w:rFonts w:ascii="Times New Roman" w:hAnsi="Times New Roman"/>
                <w:i/>
                <w:iCs/>
                <w:color w:val="000000"/>
                <w:sz w:val="20"/>
                <w:szCs w:val="20"/>
              </w:rPr>
              <w:lastRenderedPageBreak/>
              <w:t>образовательную деятельность, в целях установления квалификационной категории»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lastRenderedPageBreak/>
              <w:t>3 481 938,16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3 481 938,16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3 481 938,16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3 481 938,16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2 985 050,00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85,73%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3 481 938,16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3 481 938,16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3 481 938,16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3 481 938,16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2 985 050,00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85,73%</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3 481 938,16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3 481 938,16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3 481 938,16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3 481 938,16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2 985 050,00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85,73%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4.23</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«Предоставлена стипендия студентам, обучающимся в областных государственных профессиональных образовательных организациях»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84 803 664,00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84 803 664,00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84 803 664,00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83 840 352,00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61 522 707,20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72,55%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84 803 664,00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84 803 664,00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84 803 664,00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83 840 352,00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61 522 707,20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72,55%</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84 803 664,00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84 803 664,00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84 803 664,00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83 840 352,00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61 522 707,20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72,55%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4.24</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«Проведена экспертиза инновационных программ, проектов педагогов образовательных организаций»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47 000,00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47 000,00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47 000,00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47 000,00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47 000,00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47 000,00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4.25</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«Обеспечены выплаты денежного вознаграждения за классное руководство (кураторство), предоставляемые педагогическим работникам образовательных организаций, ежемесячно»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63 146 980,00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63 146 980,00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63 146 980,00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63 146 980,00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63 146 980,00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63 146 980,00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63 146 980,00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63 146 980,00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63 146 980,00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4.26</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«Количество выплат ежемесячного денежного вознаграждения за классное руководство (кураторство)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предоставляемых работникам образовательных организаций»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45 153 320,00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63 146 980,00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63 146 980,00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63 146 980,00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51 936 780,00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82,25%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45 153 320,00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63 146 980,00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63 146 980,00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63 146 980,00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51 936 780,00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82,25%</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45 153 320,00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63 146 980,00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63 146 980,00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63 146 980,00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51 936 780,00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82,25%</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4.27</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«Разработана (откорректирована) проектная документация на капитальный ремонт объектов общего образования»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16 649 054,04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8 806 300,64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0.00 %</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16 649 054,04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8 806 300,64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16 649 054,04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8 806 300,64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4.28</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«Разработана (откорректирована) проектная документация на капитальный ремонт объектов общего образования»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0.00 %</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lastRenderedPageBreak/>
              <w:t>4.29</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35 870 160,00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25 753 640,00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25 753 640,00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35 870 160,00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25 753 640,00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25 753 640,00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35 870 160,00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25 753 640,00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25 753 640,00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4.30</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«Доля педагогических работников областных государственных общеобразовательных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23 436 040,00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25 753 640,00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25 753 640,00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22 922 954,08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89,01%</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23 436 040,00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25 753 640,00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25 753 640,00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22 922 954,08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89,01%</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23 436 040,00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25 753 640,00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25 753 640,00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22 922 954,08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89,01%</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4.31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498 913 380,00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363 023 640,00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363 023 640,00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498 913 380,00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363 023 640,00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363 023 640,00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498 913 380,00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363 023 640,00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363 023 640,00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4.32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 xml:space="preserve">Мероприятие (результат) «Доля педагогических работников муниципальных общеобразовательных организаций, получивших ежемесячное денежное </w:t>
            </w:r>
            <w:r>
              <w:rPr>
                <w:rFonts w:ascii="Times New Roman" w:hAnsi="Times New Roman"/>
                <w:i/>
                <w:iCs/>
                <w:color w:val="000000"/>
                <w:sz w:val="20"/>
                <w:szCs w:val="20"/>
              </w:rPr>
              <w:lastRenderedPageBreak/>
              <w:t>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lastRenderedPageBreak/>
              <w:t>328 885 200,00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363 023 640,00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363 023 640,00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363 023 640,00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332 361 536,49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91,55%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328 885 200,00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363 023 640,00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363 023 640,00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363 023 640,00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332 361 536,49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91,55%</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328 885 200,00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363 023 640,00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363 023 640,00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363 023 640,00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332 361 536,49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91,55%</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4.33</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образовательных организациях»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10 642 327,00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10 642 327,00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10 642 327,00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10 642 327,00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10 642 327,00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10 642 327,00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744 962,99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744 962,99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744 962,99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9 897 364,01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9 897 364,01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9 897 364,01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4.34</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образовательных организациях»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10 642 327,00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10 642 327,00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10 642 327,00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4 624 595,15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3 940 994,57</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37,03%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10 642 327,00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10 642 327,00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10 642 327,00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4 624 595,15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3 940 994,57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37,03%</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744 962,99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744 962,99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744 962,99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323 721,66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275 869,17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37,03%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9 897 364,01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9 897 364,01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9 897 364,01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4 300 873,49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3 665 125,40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37,03%</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4.35</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 xml:space="preserve">Мероприятие (результат) «Проведены мероприятия по укреплению материально-технической базы в областных государственных образовательных </w:t>
            </w:r>
            <w:r>
              <w:rPr>
                <w:rFonts w:ascii="Times New Roman" w:hAnsi="Times New Roman"/>
                <w:i/>
                <w:iCs/>
                <w:color w:val="000000"/>
                <w:sz w:val="20"/>
                <w:szCs w:val="20"/>
              </w:rPr>
              <w:lastRenderedPageBreak/>
              <w:t xml:space="preserve">организациях </w:t>
            </w:r>
            <w:r>
              <w:rPr>
                <w:rFonts w:ascii="Times New Roman" w:hAnsi="Times New Roman"/>
                <w:i/>
                <w:iCs/>
                <w:color w:val="000000"/>
                <w:sz w:val="20"/>
                <w:szCs w:val="20"/>
              </w:rPr>
              <w:br/>
              <w:t>»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lastRenderedPageBreak/>
              <w:t>101 312 969,06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101 312 969,06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101 312 969,06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62 309 217,79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59 823 718,93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59,05%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101 312 969,06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101 312 969,06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101 312 969,06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62 309 217,79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59 823 718,93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59,05%</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101 312 969,06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101 312 969,06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101 312 969,06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62 309 217,79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59 823 718,93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59,05%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4.36</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«Проведены мероприятия с одаренными детьми на базе очно-заочных школ»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147 500,00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147 500,00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147 500,00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147 500,00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104 500,00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70,85%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147 500,00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147 500,00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147 500,00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147 500,00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104 500,00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70,85%</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147 500,00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147 500,00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147 500,00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147 500,00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104 500,00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70,85%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бюджеты государственных внебюджетных фондов (в отношении средств, которые не передавались бюджету Ивановской области в </w:t>
            </w:r>
            <w:r>
              <w:rPr>
                <w:rFonts w:ascii="Times New Roman" w:hAnsi="Times New Roman"/>
                <w:color w:val="000000"/>
                <w:sz w:val="18"/>
                <w:szCs w:val="18"/>
              </w:rPr>
              <w:lastRenderedPageBreak/>
              <w:t>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lastRenderedPageBreak/>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lastRenderedPageBreak/>
              <w:t>4.37</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«Обеспечено участие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3 673 400,00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3 673 400,00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3 673 400,00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3 673 400,00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2 979 100,00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81,1%</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3 673 400,00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3 673 400,00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3 673 400,00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3 673 400,00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2 979 100,00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81,1%</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3 673 400,00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3 673 400,00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3 673 400,00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3 673 400,00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2 979 100,00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81,1%</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4.38</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«Проведено присуждение областных премий одаренным обучающимся и денежное поощрение наставников»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5 950 000,00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5 950 000,00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5 950 000,00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560 000,00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9,41%</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5 950 000,00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5 950 000,00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5 950 000,00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9,41%</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5 950 000,00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5 950 000,00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5 950 000,00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9,41%</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4.39</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«Оказана психолого-педагогическая, методическая и консультативная помощь родителям (законным представителям) детей, а также гражданам, желающим принять на воспитание в свои семьи детей, оставшихся без попечения родителей»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260 000,00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260 000,00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260 000,00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260 000,00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260 000,00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260 000,00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4.40</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 xml:space="preserve">Мероприятие (результат) «Приобретено и (или) установлено оборудование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w:t>
            </w:r>
            <w:r>
              <w:rPr>
                <w:rFonts w:ascii="Times New Roman" w:hAnsi="Times New Roman"/>
                <w:i/>
                <w:iCs/>
                <w:color w:val="000000"/>
                <w:sz w:val="20"/>
                <w:szCs w:val="20"/>
              </w:rPr>
              <w:lastRenderedPageBreak/>
              <w:t>образования»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lastRenderedPageBreak/>
              <w:t>44 880 155,55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44 880 155,55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44 880 155,55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44 880 155,55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41 830 158,55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93,2%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44 880 155,55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44 880 155,55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44 880 155,55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44 880 155,55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41 830 158,55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93,2%</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44 880 155,55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44 880 155,55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44 880 155,55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44 880 155,55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41 830 158,55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93,2%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4.41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«Осуществлена организация и финансовая поддержка Всероссийского чемпионатного движения по профессиональному мастерству»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14 544 126,10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14 544 126,10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14 544 126,10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14 544 126,10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13 526 000,00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93%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14 544 126,10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14 544 126,10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14 544 126,10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14 544 126,10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13 526 000,00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93%</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14 544 126,10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14 544 126,10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14 544 126,10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14 544 126,10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13 526 000,00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бюджеты государственных внебюджетных фондов (в отношении средств, которые не передавались бюджету Ивановской области в </w:t>
            </w:r>
            <w:r>
              <w:rPr>
                <w:rFonts w:ascii="Times New Roman" w:hAnsi="Times New Roman"/>
                <w:color w:val="000000"/>
                <w:sz w:val="18"/>
                <w:szCs w:val="18"/>
              </w:rPr>
              <w:lastRenderedPageBreak/>
              <w:t>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lastRenderedPageBreak/>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lastRenderedPageBreak/>
              <w:t>4.42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«Выплачено 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14 030 195,76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14 030 195,76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14 030 195,76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8 951 263,18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63,8%</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14 030 195,76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14 030 195,76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14 030 195,76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8 951 263,18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63,8%</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14 030 195,76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14 030 195,76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14 030 195,76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8 951 263,18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63,8%</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4.43</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«Выплачено 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(всего),</w:t>
            </w:r>
            <w:r>
              <w:rPr>
                <w:rFonts w:ascii="Times New Roman" w:hAnsi="Times New Roman"/>
                <w:i/>
                <w:iCs/>
                <w:color w:val="000000"/>
                <w:sz w:val="20"/>
                <w:szCs w:val="20"/>
              </w:rPr>
              <w:br/>
            </w:r>
            <w:r>
              <w:rPr>
                <w:rFonts w:ascii="Times New Roman" w:hAnsi="Times New Roman"/>
                <w:i/>
                <w:iCs/>
                <w:color w:val="000000"/>
                <w:sz w:val="20"/>
                <w:szCs w:val="20"/>
              </w:rPr>
              <w:lastRenderedPageBreak/>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lastRenderedPageBreak/>
              <w:t>27 092 016,00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27 092 016,00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27 092 016,00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26 685 148,80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19 926 744,00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73,55%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27 092 016,00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27 092 016,00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27 092 016,00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26 685 148,80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19 926 744,00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73,55%</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27 092 016,00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27 092 016,00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27 092 016,00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26 685 148,80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19 926 744,00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73,55%</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4.44</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«Обеспечена выплата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197 331 120,00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197 331 120,00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197 331 120,00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197 331 120,00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149 098 471,00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75,56%</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197 331 120,00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197 331 120,00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197 331 120,00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197 331 120,00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149 098 471,00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75,56%</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197 331 120,00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197 331 120,00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197 331 120,00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197 331 120,00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149 098 471,00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75,56%</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4.45</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«Осуществлен присмотр и уход за детьми из многодетных семей в муниципальных образовательных организациях»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106 848 478,00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106 848 478,00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106 848 478,00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106 848 478,00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82 389 142,24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77,11%</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106 848 478,00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106 848 478,00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106 848 478,00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106 848 478,00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82 389 142,24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77,11%</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106 848 478,00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106 848 478,00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106 848 478,00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106 848 478,00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82 389 142,24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77,11%</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4.46</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«Проведен капитальный ремонт объектов образования»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28 199 508,04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24 199 514,04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24 199 514,04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24 156 000,00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99,82%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28 199 508,04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24 199 514,04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24 199 514,04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24 156 000,00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99,82%</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28 199 508,04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24 199 514,04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24 199 514,04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24 156 000,00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99,82%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4.47</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«Проведен капитальный ремонт объектов дополнительного образования детей»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6 270 043,11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0.00 %</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6 270 043,11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6 270 043,11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4.48</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5 859 000,00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5 859 000,00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5 859 000,00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5 859 000,00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5 859 000,00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5 859 000,00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5 859 000,00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5 859 000,00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5 859 000,00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4.49</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1 171 880,00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1 171 880,00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1 171 880,00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252 436,96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21,54%</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1 171 880,00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1 171 880,00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1 171 880,00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252 436,96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21,54%</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1 171 880,00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1 171 880,00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1 171 880,00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252 436,96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21,54%</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4.50</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«Предоставлены меры материального стимулирования гражданам, заключившим договор о целевом обучении по образовательным программам среднего профессионального или высшего образования в государственных образовательных организациях, расположенных на территории Ивановской области»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0.00 %</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5</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Структурный элемент «Социальная поддержка в сфере образования»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496 915 142,78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492 815 142,78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492 815 142,78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426 829 801,36</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335 131 944,09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68%</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496 915 142,78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492 815 142,78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492 815 142,78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426 829 801,36</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335 131 944,09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68%</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496 915 142,78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492 815 142,78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492 815 142,78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426 829 801,36</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335 131 944,09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68%</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68%</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7528BE" w:rsidP="007528BE">
            <w:pPr>
              <w:widowControl w:val="0"/>
              <w:autoSpaceDE w:val="0"/>
              <w:autoSpaceDN w:val="0"/>
              <w:adjustRightInd w:val="0"/>
              <w:spacing w:after="0" w:line="240" w:lineRule="auto"/>
              <w:jc w:val="center"/>
              <w:rPr>
                <w:rFonts w:ascii="Arial" w:hAnsi="Arial" w:cs="Arial"/>
                <w:sz w:val="2"/>
                <w:szCs w:val="2"/>
              </w:rPr>
            </w:pPr>
            <w:r w:rsidRPr="007528BE">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r>
      <w:tr w:rsidR="00F76C43">
        <w:tblPrEx>
          <w:tblCellMar>
            <w:top w:w="0" w:type="dxa"/>
            <w:bottom w:w="0" w:type="dxa"/>
          </w:tblCellMar>
        </w:tblPrEx>
        <w:trPr>
          <w:trHeight w:val="584"/>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8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835"/>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«Выплачено единовременное денежное пособие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122 500,00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122 500,00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122 500,00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5 500,00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99 000,00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80,82%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122 500,00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122 500,00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122 500,00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99 000,00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80,82%</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122 500,00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122 500,00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122 500,00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5 500,00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99 000,00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80,82%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 xml:space="preserve">Мероприятие (результат) «Выплачена денежная компенсация выпускникам областных государственных профессиональных образовательных организаций - детям-сиротам и детям, </w:t>
            </w:r>
            <w:r>
              <w:rPr>
                <w:rFonts w:ascii="Times New Roman" w:hAnsi="Times New Roman"/>
                <w:i/>
                <w:iCs/>
                <w:color w:val="000000"/>
                <w:sz w:val="20"/>
                <w:szCs w:val="20"/>
              </w:rPr>
              <w:lastRenderedPageBreak/>
              <w:t>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lastRenderedPageBreak/>
              <w:t>11 587 912,00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11 587 912,00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11 587 912,00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520 273,60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9 364 924,80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80,82%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11 587 912,00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11 587 912,00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11 587 912,00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520 273,60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9 364 924,80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80,82%</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11 587 912,00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11 587 912,00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11 587 912,00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520 273,60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9 364 924,80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80,82%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5.3</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«Осуществлен присмотр и уход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32 125 080,00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32 125 080,00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32 125 080,00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32 125 080,00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23 556 797,03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73,33%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32 125 080,00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32 125 080,00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32 125 080,00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32 125 080,00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23 556 797,03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73,33%</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32 125 080,00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32 125 080,00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32 125 080,00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32 125 080,00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23 556 797,03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73,33%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5.4</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«Осуществлен присмотр и уход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659 061,00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659 061,00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659 061,00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659 061,00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522 610,75</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79,3%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659 061,00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659 061,00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659 061,00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659 061,00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522 610,75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79,3%</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659 061,00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659 061,00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659 061,00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659 061,00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522 610,75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79,3%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5.5</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 xml:space="preserve">Мероприятие (результат) «Предоставлено полное государственное обеспечение и дополнительные гарантии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w:t>
            </w:r>
            <w:r>
              <w:rPr>
                <w:rFonts w:ascii="Times New Roman" w:hAnsi="Times New Roman"/>
                <w:i/>
                <w:iCs/>
                <w:color w:val="000000"/>
                <w:sz w:val="20"/>
                <w:szCs w:val="20"/>
              </w:rPr>
              <w:lastRenderedPageBreak/>
              <w:t>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lastRenderedPageBreak/>
              <w:t>142 553 153,57</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142 553 153,57</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142 553 153,57</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143 053 244,16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101 889 529,71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71,47%</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142 553 153,57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142 553 153,57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142 553 153,57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143 053 244,16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101 889 529,71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71,47%</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142 553 153,57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142 553 153,57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142 553 153,57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143 053 244,16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101 889 529,71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71,47%</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5.6</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«Предоставлено бесплатное питание в дни теоретического, производственного обучения и производственной практики или выплачена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44 226 000,00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44 226 000,00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44 226 000,00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21 451 169,32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24 900 058,76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56,3%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44 226 000,00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44 226 000,00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44 226 000,00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21 451 169,32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24 900 058,76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56,3%</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44 226 000,00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44 226 000,00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44 226 000,00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21 451 169,32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24 900 058,76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56,3%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5.7</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«Предоставлена компенсация затрат по проезду на всех видах пассажирского транспорта в Ивановской области студентам государственных профессиональных образовательных организаций, обучающихся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3 317 757,19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3 317 757,19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3 317 757,19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1 254 688,30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37,82%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3 317 757,19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3 317 757,19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3 317 757,19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1 254 688,30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37,82%</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3 317 757,19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3 317 757,19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3 317 757,19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1 254 688,30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37,82%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бюджеты государственных внебюджетных фондов (в отношении средств, которые не </w:t>
            </w:r>
            <w:r>
              <w:rPr>
                <w:rFonts w:ascii="Times New Roman" w:hAnsi="Times New Roman"/>
                <w:color w:val="000000"/>
                <w:sz w:val="18"/>
                <w:szCs w:val="18"/>
              </w:rPr>
              <w:lastRenderedPageBreak/>
              <w:t>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lastRenderedPageBreak/>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lastRenderedPageBreak/>
              <w:t>5.8</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«Осуществлена единовременная выплата педагогическим работникам для оплаты ипотечного кредита, в том числе первоначального взноса при получении ипотечного кредита»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5 100 000,00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17%</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5 100 000,00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17%</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5 100 000,00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17%</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5.9</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«Осуществлена ежегодная социальная выплата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124 830 000,00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122 000 000,00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122 000 000,00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124 800 000,00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121 140 000,00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99,3%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124 830 000,00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122 000 000,00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122 000 000,00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124 800 000,00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121 140 000,00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99,3%</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124 830 000,00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122 000 000,00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122 000 000,00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124 800 000,00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121 140 000,00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99,3%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5.10</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«Осуществлена 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20 940 000,00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19 670 000,00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19 670 000,00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2 885 850,00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20 324 400,00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103,33%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20 940 000,00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19 670 000,00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19 670 000,00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2 885 850,00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20 324 400,00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103,33%</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20 940 000,00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19 670 000,00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19 670 000,00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2 885 850,00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20 324 400,00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103,33%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5.11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 xml:space="preserve">Мероприятие (результат) «Осуществлена оплата обучения в государственной </w:t>
            </w:r>
            <w:r>
              <w:rPr>
                <w:rFonts w:ascii="Times New Roman" w:hAnsi="Times New Roman"/>
                <w:i/>
                <w:iCs/>
                <w:color w:val="000000"/>
                <w:sz w:val="20"/>
                <w:szCs w:val="20"/>
              </w:rPr>
              <w:lastRenderedPageBreak/>
              <w:t>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lastRenderedPageBreak/>
              <w:t>9 840 000,00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9 840 000,00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9 840 000,00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3 740 608,00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2 482 568,00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25,23%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9 840 000,00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9 840 000,00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9 840 000,00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3 740 608,00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2 482 568,00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25,23%</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9 840 000,00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9 840 000,00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9 840 000,00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3 740 608,00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2 482 568,00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25,23%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5.12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«Осуществлена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54 959 618,21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54 959 618,21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54 959 618,21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70 368 595,21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17 268 741,82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31,42%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54 959 618,21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54 959 618,21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54 959 618,21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70 368 595,21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17 268 741,82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31,42%</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54 959 618,21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54 959 618,21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54 959 618,21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70 368 595,21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17 268 741,82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31,42%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5.13</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 xml:space="preserve">Мероприятие (результат) «Возмещены расходы, связанные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w:t>
            </w:r>
            <w:r>
              <w:rPr>
                <w:rFonts w:ascii="Times New Roman" w:hAnsi="Times New Roman"/>
                <w:i/>
                <w:iCs/>
                <w:color w:val="000000"/>
                <w:sz w:val="20"/>
                <w:szCs w:val="20"/>
              </w:rPr>
              <w:lastRenderedPageBreak/>
              <w:t>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lastRenderedPageBreak/>
              <w:t>21 754 060,81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21 754 060,81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21 754 060,81</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27 220 420,07</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7 228 624,92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33,23%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21 754 060,81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21 754 060,81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21 754 060,81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27 220 420,07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7 228 624,92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33,23%</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21 754 060,81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21 754 060,81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21 754 060,81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27 220 420,07</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7 228 624,92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33,23%</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xml:space="preserve">бюджеты государственных внебюджетных фондов (в отношении средств, которые не </w:t>
            </w:r>
            <w:r>
              <w:rPr>
                <w:rFonts w:ascii="Times New Roman" w:hAnsi="Times New Roman"/>
                <w:color w:val="000000"/>
                <w:sz w:val="18"/>
                <w:szCs w:val="18"/>
              </w:rPr>
              <w:lastRenderedPageBreak/>
              <w:t>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lastRenderedPageBreak/>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lastRenderedPageBreak/>
              <w:t>6</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Структурный элемент «Оказание поддержки реализации научных, образовательных проектов и развитие инфраструктуры»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14 500 000,00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7 798 333,33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77,98%</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14 500 000,00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7 798 333,33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77,98%</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14 500 000,00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7 798 333,33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77,98%</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77,98%</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rsidP="007528BE">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r>
      <w:tr w:rsidR="00F76C43">
        <w:tblPrEx>
          <w:tblCellMar>
            <w:top w:w="0" w:type="dxa"/>
            <w:bottom w:w="0" w:type="dxa"/>
          </w:tblCellMar>
        </w:tblPrEx>
        <w:trPr>
          <w:trHeight w:val="584"/>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8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835"/>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6.1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«Проведен анализ системы высшего образования на территории Ивановской области и подготовлен комплекс предложений по её оптимизации»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10 000 000,00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7 798 333,33</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77,98%</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7 798 333,33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77,98%</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7 798 333,33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77,98%</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6.2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«Получили поддержку научные проекты в рамках региональных (федеральных) конкурсов проектов фундаментальных научных исследований и поисковых исследований»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0.00 %</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6.3</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«Получили поддержку научные проекты в рамках региональных (федеральных) конкурсов проектов фундаментальных научных исследований и поисковых исследований малыми отдельными научными группами»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4 500 000,00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0.00 %</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4 500 000,00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4 500 000,00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7</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Структурный элемент «Современная школа»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123 123 025,63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123 123 025,63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123 123 025,63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96 725 757,63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93 688 899,91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76,09%</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123 123 025,63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123 123 025,63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123 123 025,63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96 725 757,63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93 688 899,91</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76,09%</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17 134 525,63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17 134 525,63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17 134 525,63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967 257,63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936 889,04</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5,47%</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105 988 500,00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105 988 500,00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105 988 500,00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95 758 500,00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92 752 010,87</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5,47%</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rsidP="007528BE">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r>
      <w:tr w:rsidR="00F76C43">
        <w:tblPrEx>
          <w:tblCellMar>
            <w:top w:w="0" w:type="dxa"/>
            <w:bottom w:w="0" w:type="dxa"/>
          </w:tblCellMar>
        </w:tblPrEx>
        <w:trPr>
          <w:trHeight w:val="584"/>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8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835"/>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33 205 353,54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33 205 353,54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33 205 353,54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33 205 353,54</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33 205 353,39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33 205 353,54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33 205 353,54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33 205 353,54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33 205 353,54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33 205 353,39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332 053,54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332 053,54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332 053,54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332 053,54</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332 053,53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32 873 300,00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32 873 300,00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32 873 300,00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32 873 300,00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32 873 299,86</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100%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7.2</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«На базе общеобразовательных организаций созданы и функционируют детские технопарки "Кванториум"»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63 520 404,09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63 520 404,09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63 520 404,09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63 520 404,09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60 483 546,52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95,22%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63 520 404,09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63 520 404,09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63 520 404,09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63 520 404,09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60 483 546,52</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95,22%</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635 204,09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635 204,09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635 204,09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635 204,09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604 835,51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95,22%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62 885 200,00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62 885 200,00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62 885 200,00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62 885 200,00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59 878 711,01</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95,22%</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lastRenderedPageBreak/>
              <w:t>7.3</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«Обеспечена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11 000 000,00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11 000 000,00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11 000 000,00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11 000 000,00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11 000 000,00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11 000 000,00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770 000,00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770 000,00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770 000,00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10 230 000,00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10 230 000,00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10 230 000,00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7.4</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«Создано новых мест в общеобразовательных организациях»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15 397 268,00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15 397 268,00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15 397 268,00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15 397 268,00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15 397 268,00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15 397 268,00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15 397 268,00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15 397 268,00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15 397 268,00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Ввиду невостребованности средства будут уменьшены с мероприятия в полном объеме</w:t>
            </w: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8</w:t>
            </w: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b/>
                <w:bCs/>
                <w:color w:val="000000"/>
                <w:sz w:val="20"/>
                <w:szCs w:val="20"/>
              </w:rPr>
              <w:t>Структурный элемент «Модернизация школьной системы образования Ивановской области» (всего),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74 330 322,59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74 330 322,59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74 330 322,59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57 887 000,78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
                <w:bCs/>
                <w:color w:val="000000"/>
                <w:sz w:val="20"/>
                <w:szCs w:val="20"/>
              </w:rPr>
              <w:t>57 841 123,98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0"/>
                <w:szCs w:val="20"/>
              </w:rPr>
              <w:t>77,82%</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74 330 322,59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74 330 322,59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74 330 322,59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57 887 000,78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57 841 123,98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77,82%</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5 203 122,59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5 203 122,59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5 203 122,59</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633 990,05</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4 048 878,68</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77,82%</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69 127 200,00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69 127 200,00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69 127 200,00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57 253 010,73</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53 792 245,30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77,82%</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rsidP="007528BE">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r>
      <w:tr w:rsidR="00F76C43">
        <w:tblPrEx>
          <w:tblCellMar>
            <w:top w:w="0" w:type="dxa"/>
            <w:bottom w:w="0" w:type="dxa"/>
          </w:tblCellMar>
        </w:tblPrEx>
        <w:trPr>
          <w:trHeight w:val="584"/>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82"/>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835"/>
        </w:trPr>
        <w:tc>
          <w:tcPr>
            <w:tcW w:w="416"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shd w:val="clear" w:color="auto" w:fill="D0EFFD"/>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8"/>
        </w:trPr>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8.1</w:t>
            </w:r>
          </w:p>
        </w:tc>
        <w:tc>
          <w:tcPr>
            <w:tcW w:w="3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i/>
                <w:iCs/>
                <w:color w:val="000000"/>
                <w:sz w:val="20"/>
                <w:szCs w:val="20"/>
              </w:rPr>
              <w:t>Мероприятие (результат)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(всего),</w:t>
            </w:r>
            <w:r>
              <w:rPr>
                <w:rFonts w:ascii="Times New Roman" w:hAnsi="Times New Roman"/>
                <w:i/>
                <w:iCs/>
                <w:color w:val="000000"/>
                <w:sz w:val="20"/>
                <w:szCs w:val="20"/>
              </w:rPr>
              <w:br/>
              <w:t xml:space="preserve"> в том числе:</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74 330 322,59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74 330 322,59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74 330 322,59</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57 887 000,78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i/>
                <w:iCs/>
                <w:color w:val="000000"/>
                <w:sz w:val="20"/>
                <w:szCs w:val="20"/>
              </w:rPr>
              <w:t>57 841 123,98</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0"/>
                <w:szCs w:val="20"/>
              </w:rPr>
              <w:t>77,82%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4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бюджетные ассигнования, всего, в т.ч.:</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74 330 322,59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74 330 322,59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74 330 322,59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57 887 000,78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57 841 123,98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77,82%</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5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областной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5 203 122,59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5 203 122,59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5 203 122,59</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633 990,05</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4 048 878,68</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77,82%</w:t>
            </w:r>
          </w:p>
        </w:tc>
        <w:tc>
          <w:tcPr>
            <w:tcW w:w="2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9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федеральный бюджет</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69 127 200,00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69 127 200,00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69 127 200,00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57 253 010,73</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53 792 245,30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77,82%</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0"/>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бюджеты государственных внебюджетных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4"/>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 средства некоммерческих организаций - фондов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 территориального фонда обязательного медицинского страхования Ивановской области</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r w:rsidR="00F76C43">
        <w:tblPrEx>
          <w:tblCellMar>
            <w:top w:w="0" w:type="dxa"/>
            <w:bottom w:w="0" w:type="dxa"/>
          </w:tblCellMar>
        </w:tblPrEx>
        <w:trPr>
          <w:trHeight w:val="572"/>
        </w:trPr>
        <w:tc>
          <w:tcPr>
            <w:tcW w:w="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p>
        </w:tc>
        <w:tc>
          <w:tcPr>
            <w:tcW w:w="39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8"/>
                <w:szCs w:val="18"/>
              </w:rPr>
              <w:t>бюджеты государственных внебюджетных фондов (в отношении средств, которые не передавались бюджету Ивановской области в виде межбюджетных трансфертов)</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8"/>
                <w:szCs w:val="18"/>
              </w:rPr>
              <w:t>0,00</w:t>
            </w:r>
          </w:p>
        </w:tc>
        <w:tc>
          <w:tcPr>
            <w:tcW w:w="1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8"/>
                <w:szCs w:val="18"/>
              </w:rPr>
              <w:t>0,00%</w:t>
            </w:r>
          </w:p>
        </w:tc>
        <w:tc>
          <w:tcPr>
            <w:tcW w:w="22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6C43" w:rsidRDefault="00F76C43">
            <w:pPr>
              <w:widowControl w:val="0"/>
              <w:autoSpaceDE w:val="0"/>
              <w:autoSpaceDN w:val="0"/>
              <w:adjustRightInd w:val="0"/>
              <w:spacing w:after="0" w:line="240" w:lineRule="auto"/>
              <w:jc w:val="center"/>
              <w:rPr>
                <w:rFonts w:ascii="Arial" w:hAnsi="Arial" w:cs="Arial"/>
                <w:sz w:val="2"/>
                <w:szCs w:val="2"/>
              </w:rPr>
            </w:pPr>
          </w:p>
        </w:tc>
      </w:tr>
    </w:tbl>
    <w:p w:rsidR="00F76C43" w:rsidRDefault="00F76C43">
      <w:pPr>
        <w:widowControl w:val="0"/>
        <w:autoSpaceDE w:val="0"/>
        <w:autoSpaceDN w:val="0"/>
        <w:adjustRightInd w:val="0"/>
        <w:spacing w:after="0" w:line="240" w:lineRule="auto"/>
        <w:rPr>
          <w:rFonts w:ascii="Arial" w:hAnsi="Arial" w:cs="Arial"/>
          <w:sz w:val="24"/>
          <w:szCs w:val="24"/>
        </w:rPr>
      </w:pPr>
    </w:p>
    <w:p w:rsidR="00F76C43" w:rsidRDefault="00F76C43">
      <w:pPr>
        <w:pageBreakBefore/>
        <w:widowControl w:val="0"/>
        <w:autoSpaceDE w:val="0"/>
        <w:autoSpaceDN w:val="0"/>
        <w:adjustRightInd w:val="0"/>
        <w:spacing w:after="0" w:line="240" w:lineRule="auto"/>
        <w:rPr>
          <w:rFonts w:ascii="Arial" w:hAnsi="Arial" w:cs="Arial"/>
          <w:sz w:val="24"/>
          <w:szCs w:val="24"/>
        </w:rPr>
      </w:pPr>
    </w:p>
    <w:sectPr w:rsidR="00F76C43" w:rsidSect="00A76A67">
      <w:footerReference w:type="default" r:id="rId8"/>
      <w:pgSz w:w="16839" w:h="11907" w:orient="landscape" w:code="9"/>
      <w:pgMar w:top="567" w:right="567" w:bottom="567" w:left="567"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AA" w:rsidRDefault="00FF43AA">
      <w:pPr>
        <w:spacing w:after="0" w:line="240" w:lineRule="auto"/>
      </w:pPr>
      <w:r>
        <w:separator/>
      </w:r>
    </w:p>
  </w:endnote>
  <w:endnote w:type="continuationSeparator" w:id="0">
    <w:p w:rsidR="00FF43AA" w:rsidRDefault="00FF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43" w:rsidRDefault="00F76C43">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fldChar w:fldCharType="begin"/>
    </w:r>
    <w:r>
      <w:rPr>
        <w:rFonts w:ascii="Times New Roman" w:hAnsi="Times New Roman"/>
        <w:color w:val="000000"/>
        <w:sz w:val="20"/>
        <w:szCs w:val="20"/>
      </w:rPr>
      <w:instrText>PAGE</w:instrText>
    </w:r>
    <w:r>
      <w:rPr>
        <w:rFonts w:ascii="Times New Roman" w:hAnsi="Times New Roman"/>
        <w:color w:val="000000"/>
        <w:sz w:val="20"/>
        <w:szCs w:val="20"/>
      </w:rPr>
      <w:fldChar w:fldCharType="separate"/>
    </w:r>
    <w:r w:rsidR="00630EB3">
      <w:rPr>
        <w:rFonts w:ascii="Times New Roman" w:hAnsi="Times New Roman"/>
        <w:noProof/>
        <w:color w:val="000000"/>
        <w:sz w:val="20"/>
        <w:szCs w:val="20"/>
      </w:rPr>
      <w:t>2</w:t>
    </w:r>
    <w:r>
      <w:rPr>
        <w:rFonts w:ascii="Times New Roman" w:hAnsi="Times New Roman"/>
        <w:color w:val="000000"/>
        <w:sz w:val="20"/>
        <w:szCs w:val="20"/>
      </w:rPr>
      <w:fldChar w:fldCharType="end"/>
    </w:r>
    <w:r>
      <w:rPr>
        <w:rFonts w:ascii="Times New Roman" w:hAnsi="Times New Roman"/>
        <w:color w:val="000000"/>
        <w:sz w:val="20"/>
        <w:szCs w:val="20"/>
      </w:rPr>
      <w:t xml:space="preserve"> из </w:t>
    </w:r>
    <w:r>
      <w:rPr>
        <w:rFonts w:ascii="Times New Roman" w:hAnsi="Times New Roman"/>
        <w:color w:val="000000"/>
        <w:sz w:val="20"/>
        <w:szCs w:val="20"/>
      </w:rPr>
      <w:fldChar w:fldCharType="begin"/>
    </w:r>
    <w:r>
      <w:rPr>
        <w:rFonts w:ascii="Times New Roman" w:hAnsi="Times New Roman"/>
        <w:color w:val="000000"/>
        <w:sz w:val="20"/>
        <w:szCs w:val="20"/>
      </w:rPr>
      <w:instrText>NUMPAGES</w:instrText>
    </w:r>
    <w:r>
      <w:rPr>
        <w:rFonts w:ascii="Times New Roman" w:hAnsi="Times New Roman"/>
        <w:color w:val="000000"/>
        <w:sz w:val="20"/>
        <w:szCs w:val="20"/>
      </w:rPr>
      <w:fldChar w:fldCharType="separate"/>
    </w:r>
    <w:r w:rsidR="00630EB3">
      <w:rPr>
        <w:rFonts w:ascii="Times New Roman" w:hAnsi="Times New Roman"/>
        <w:noProof/>
        <w:color w:val="000000"/>
        <w:sz w:val="20"/>
        <w:szCs w:val="20"/>
      </w:rPr>
      <w:t>58</w:t>
    </w:r>
    <w:r>
      <w:rPr>
        <w:rFonts w:ascii="Times New Roman" w:hAnsi="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AA" w:rsidRDefault="00FF43AA">
      <w:pPr>
        <w:spacing w:after="0" w:line="240" w:lineRule="auto"/>
      </w:pPr>
      <w:r>
        <w:separator/>
      </w:r>
    </w:p>
  </w:footnote>
  <w:footnote w:type="continuationSeparator" w:id="0">
    <w:p w:rsidR="00FF43AA" w:rsidRDefault="00FF43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43"/>
    <w:rsid w:val="00294074"/>
    <w:rsid w:val="00630EB3"/>
    <w:rsid w:val="007528BE"/>
    <w:rsid w:val="00764262"/>
    <w:rsid w:val="009024F5"/>
    <w:rsid w:val="00954F63"/>
    <w:rsid w:val="00A76A67"/>
    <w:rsid w:val="00AF71DA"/>
    <w:rsid w:val="00F76C43"/>
    <w:rsid w:val="00FF4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F307B-71BC-428D-A80C-D06A9C42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14314</Words>
  <Characters>81596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95719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ReportDesigner</dc:creator>
  <cp:lastModifiedBy>Светлана Валерьевна Денисова</cp:lastModifiedBy>
  <cp:revision>2</cp:revision>
  <dcterms:created xsi:type="dcterms:W3CDTF">2024-10-24T13:21:00Z</dcterms:created>
  <dcterms:modified xsi:type="dcterms:W3CDTF">2024-10-24T13:21:00Z</dcterms:modified>
</cp:coreProperties>
</file>